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05" w:rsidRPr="009D0F05" w:rsidRDefault="009D0F05" w:rsidP="009D0F05">
      <w:pPr>
        <w:pStyle w:val="a3"/>
        <w:shd w:val="clear" w:color="auto" w:fill="FFFFFF"/>
        <w:jc w:val="center"/>
        <w:rPr>
          <w:rStyle w:val="menu3br"/>
          <w:b/>
          <w:bCs/>
        </w:rPr>
      </w:pPr>
      <w:r w:rsidRPr="009D0F05">
        <w:rPr>
          <w:rStyle w:val="menu3br"/>
          <w:b/>
          <w:bCs/>
        </w:rPr>
        <w:t>Доклад о реализации мер антикоррупционной политики на территории Республики Карелия за 2017 год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rPr>
          <w:rStyle w:val="a4"/>
        </w:rPr>
        <w:t>I</w:t>
      </w:r>
      <w:r w:rsidRPr="009D0F05">
        <w:t> </w:t>
      </w:r>
      <w:r w:rsidRPr="009D0F05">
        <w:rPr>
          <w:rStyle w:val="a4"/>
        </w:rPr>
        <w:t>. Правовые основы противодействия коррупции в Республики Карелия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rPr>
          <w:rStyle w:val="a4"/>
        </w:rPr>
        <w:t>1.1. Анализ развития законодательства Республики Карелия в сфере противодействия коррупции в 2017 году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В 2017 году органами государственной власти продолжена работа по совершенствованию законодательства о противодействии коррупции в Республике Карелия.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В соответствии с распоряжением Главы Республики Карелия от 4 июля 2017 года № 297-р утвержден План мероприятий по противодействию коррупции на территории Республики Карелия на 2017-2019 годы.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Постановлением Правительства Республики Карелия от 26 сентября 2017 года № 326-П Администрации Главы Республики Карелия (далее – Администрация Главы) переданы функции государственного органа Республики Карелия по профилактике коррупционных правонарушений, так как именно данный орган исполнительной власти обеспечивает деятельность Главы Республики Карелия и Правительства Республики Карелия.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Принимая во внимание данное обстоятельство, соответствующие изменения были внесены в положение об Администрации Главы, а в структуре Администрации Главы было создано управление по вопросам противодействия коррупции.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Среди наиболее значимых функций в области профилактики коррупции, возложенных на Администрацию Главы, необходимо отметить следующие: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- организационное обеспечение реализацией Главой Республики Карелия, Правительством Республики Карелия возложенных на них законодательством полномочий по противодействию коррупции на территории Республики Карелия;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- проведение проверок исполнения органами исполнительной власти Республики Карелия законодательства о противодействии коррупции;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 xml:space="preserve">- осуществление </w:t>
      </w:r>
      <w:proofErr w:type="gramStart"/>
      <w:r w:rsidRPr="009D0F05">
        <w:t>контроля за</w:t>
      </w:r>
      <w:proofErr w:type="gramEnd"/>
      <w:r w:rsidRPr="009D0F05">
        <w:t xml:space="preserve"> соблюдением запретов, ограничений и требований, установленных в целях противодействия коррупции лицами, замещающими отдельные государственные должности Республики Карелия; должности гражданской службы в органах исполнительной власти Республики Карелия; должности гражданской службы, назначение на которые и освобождение от которых осуществляется Главой Республики Карелия.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proofErr w:type="gramStart"/>
      <w:r w:rsidRPr="009D0F05">
        <w:t>В целях реализации на территории Республики Карелия положений Федерального закона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был принят Закон Республики Карелия от 20 декабря 2017 года № 2199-ЗРК «О внесении изменений в отдельные законодательные акты Республики Карелия», которым было установлено, что граждане, претендующие</w:t>
      </w:r>
      <w:proofErr w:type="gramEnd"/>
      <w:r w:rsidRPr="009D0F05">
        <w:t xml:space="preserve"> на замещение муниципальных должностей, глав местных администраций по контракту, лица, замещающие указанные должности, представляют Главе Республики Карелия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Проверка достоверности и полноты представленных сведений будет осуществляться по решению Главы Республики Карелия.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lastRenderedPageBreak/>
        <w:t>Главе Республики Карелия также предоставлены полномочия по инициированию вопроса о досрочном прекращении полномочий вышеуказанных лиц в случаях выявления нарушений требований действующего законодательства о противодействии коррупции.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rPr>
          <w:rStyle w:val="a4"/>
        </w:rPr>
        <w:t>1.2. Проведение антикоррупционной экспертизы нормативных правовых актов и их проектов в 2017 году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proofErr w:type="gramStart"/>
      <w:r w:rsidRPr="009D0F05">
        <w:t>Руководствуясь положениями Закона Республики Карелия от 23</w:t>
      </w:r>
      <w:proofErr w:type="gramEnd"/>
      <w:r w:rsidRPr="009D0F05">
        <w:t xml:space="preserve"> июля 2007 года № 1227-ЗРК «О противодействии коррупции» на территории республики выстроена система организации проведения антикоррупционной экспертизы нормативных правовых актов и их проектов.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Органы государственной власти Республики Карелии, а также органы местного самоуправления проводят антикоррупционную экспертизу принятых ими нормативных правовых актов при мониторинге их применения, а проектов принимаемых ими нормативных правовых актов – при проведении их правовой экспертизы.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В 2017 году органами государственной власти Республики Карелия проведена антикоррупционная экспертиза в отношении 1540 проектов нормативных правовых актов.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 xml:space="preserve">Количество </w:t>
      </w:r>
      <w:proofErr w:type="spellStart"/>
      <w:r w:rsidRPr="009D0F05">
        <w:t>коррупциогенных</w:t>
      </w:r>
      <w:proofErr w:type="spellEnd"/>
      <w:r w:rsidRPr="009D0F05">
        <w:t xml:space="preserve"> факторов, выявленных и исключенных в проектах нормативных правовых актов, составило 5.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Органами местного самоуправления была проведена антикоррупционная экспертиза 7864 проектов нормативных правовых актов.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 xml:space="preserve">Количество выявленных </w:t>
      </w:r>
      <w:proofErr w:type="spellStart"/>
      <w:r w:rsidRPr="009D0F05">
        <w:t>коррупциогенных</w:t>
      </w:r>
      <w:proofErr w:type="spellEnd"/>
      <w:r w:rsidRPr="009D0F05">
        <w:t xml:space="preserve"> факторов</w:t>
      </w:r>
      <w:r w:rsidRPr="009D0F05">
        <w:rPr>
          <w:rStyle w:val="a4"/>
        </w:rPr>
        <w:t> </w:t>
      </w:r>
      <w:r w:rsidRPr="009D0F05">
        <w:t>составило 168, из них исключено 158.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Кроме того, в 2017 году также проводилась антикоррупционная экспертиза действующих нормативных правовых актов.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Так, в 2017 году была проведена антикоррупционная экспертиза в отношении 315 нормативных правовых актов, принятых органами государственной власти республики.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 xml:space="preserve">Количество выявленных и исключенных </w:t>
      </w:r>
      <w:proofErr w:type="spellStart"/>
      <w:r w:rsidRPr="009D0F05">
        <w:t>коррупциогенных</w:t>
      </w:r>
      <w:proofErr w:type="spellEnd"/>
      <w:r w:rsidRPr="009D0F05">
        <w:t xml:space="preserve"> факторов составило 3.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Количество нормативных правовых актов органов местного самоуправления прошедших антикоррупционную экспертизу 2832.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 xml:space="preserve">Количество выявленных и исключенных </w:t>
      </w:r>
      <w:proofErr w:type="spellStart"/>
      <w:r w:rsidRPr="009D0F05">
        <w:t>коррупциогенных</w:t>
      </w:r>
      <w:proofErr w:type="spellEnd"/>
      <w:r w:rsidRPr="009D0F05">
        <w:t xml:space="preserve"> факторов 223.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proofErr w:type="gramStart"/>
      <w:r w:rsidRPr="009D0F05">
        <w:t>В соответствии с пунктом 9 Порядка проведения антикоррупционной экспертизы нормативных правовых актов органов исполнительной власти Республики Карелия и их проектов, утвержденного постановлением Правительства Республики Карелия от 27 августа 2009 года № 194-П, в целях обеспечения возможности проведения независимой антикоррупционной экспертизы проектов нормативных правовых актов орган исполнительной власти Республики Карелия - разработчик проекта нормативного правового акта размещает этот проект на Официальном интернет-портале Республики</w:t>
      </w:r>
      <w:proofErr w:type="gramEnd"/>
      <w:r w:rsidRPr="009D0F05">
        <w:t xml:space="preserve"> Карелия и, при наличии, на сайте государственного органа в сети Интернет с указанием дат начала и окончания приема заключений по результатам независимой антикоррупционной экспертизы, а также порядка их направления.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В 2017 году в адрес органов исполнительной власти не поступало заключений по итогам проведения независимой антикоррупционной экспертизы.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rPr>
          <w:rStyle w:val="a4"/>
        </w:rPr>
        <w:t>II</w:t>
      </w:r>
      <w:r w:rsidRPr="009D0F05">
        <w:t> </w:t>
      </w:r>
      <w:r w:rsidRPr="009D0F05">
        <w:rPr>
          <w:rStyle w:val="a4"/>
        </w:rPr>
        <w:t>. Меры по противодействию коррупции, принимаемые органами государственной власти Республики Карелия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rPr>
          <w:rStyle w:val="a4"/>
        </w:rPr>
        <w:lastRenderedPageBreak/>
        <w:t>2.1. </w:t>
      </w:r>
      <w:proofErr w:type="gramStart"/>
      <w:r w:rsidRPr="009D0F05">
        <w:rPr>
          <w:rStyle w:val="a4"/>
        </w:rPr>
        <w:t>Контроль за</w:t>
      </w:r>
      <w:proofErr w:type="gramEnd"/>
      <w:r w:rsidRPr="009D0F05">
        <w:rPr>
          <w:rStyle w:val="a4"/>
        </w:rPr>
        <w:t xml:space="preserve"> реализацией плановых мероприятий по противодействию коррупции на территории Республики Карелия в 2017 году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В соответствии с распоряжением Главы Республики Карелия от 4 июля 2017 года № 297-р утвержден План мероприятий по противодействию коррупции на территории Республики Карелия на 2017-2019 годы (далее - План).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 xml:space="preserve">Итоги анализа данных об исполнении Плана </w:t>
      </w:r>
      <w:proofErr w:type="gramStart"/>
      <w:r w:rsidRPr="009D0F05">
        <w:t>свидетельствуют</w:t>
      </w:r>
      <w:proofErr w:type="gramEnd"/>
      <w:r w:rsidRPr="009D0F05">
        <w:t xml:space="preserve"> о реализации органами государственной власти основных мероприятий Плана в 2017 году.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В частности, органы государственной власти обеспечили: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- разработку и утверждение планов мероприятий по противодействию коррупции в органах государственной власти Республики Карелия;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- представление гражданами, претендующими на замещение государственных должностей, должностей государственной гражданской службы Республики Карелия, должностей руководителей государственных учреждений, подведомственных органам исполнительной власти Республики Карелия,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- размещение сведений о доходах, об имуществе и обязательствах имущественного характера государственных гражданских служащих Республики Карелия, руководителей государственных учреждений, подведомственных органам исполнительной власти Республики Карелия, и членов их семей в информационно-телекоммуникационной сети Интернет на официальных сайтах органов государственной власти Республики Карелия;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- размещение проектов нормативных правовых актов в информационно-телекоммуникационной сети Интернет на официальных сайтах органов государственной власти Республики Карелия для обеспечения возможности проведения независимой антикоррупционной экспертизы;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- 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должности Республики Карелия, и государственными гражданскими служащими Республики Карелия.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rPr>
          <w:rStyle w:val="a4"/>
        </w:rPr>
        <w:t>2.2. Реализация плана заседаний Комиссии по координации работы по противодействию коррупции в Республике Карелия за 2017 год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В 2017 год подготовлено и проведено 3 заседания Комиссии по координации работы по противодействию коррупции в Республике Карелия (27 марта, 4 июля, 11 декабря), рассмотрено 8 вопросов: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1. «О практике по обеспечению взыскания и возмещения ущерба, причиненного коррупционными преступлениями и правонарушениями в Республике Карелия»;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2. «О реализации мер по противодействию коррупции в Министерстве здравоохранения Республики Карелия и подведомственных ему учреждениях»;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 xml:space="preserve">3. «Об организации работы по противодействию коррупции в </w:t>
      </w:r>
      <w:proofErr w:type="spellStart"/>
      <w:r w:rsidRPr="009D0F05">
        <w:t>Лоухском</w:t>
      </w:r>
      <w:proofErr w:type="spellEnd"/>
      <w:r w:rsidRPr="009D0F05">
        <w:t xml:space="preserve"> муниципальном районе»;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4. «О реализации мер антикоррупционной политики на территории Республики Карелия в 2016 году»;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lastRenderedPageBreak/>
        <w:t>5. «О реализации мер по противодействию коррупции в Государственном комитете Республики Карелия по дорожному хозяйству, транспорту и связи, и подведомственных ему учреждениях»;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 xml:space="preserve">6. «Об организации работы по противодействию коррупции в </w:t>
      </w:r>
      <w:proofErr w:type="spellStart"/>
      <w:r w:rsidRPr="009D0F05">
        <w:t>Пудожском</w:t>
      </w:r>
      <w:proofErr w:type="spellEnd"/>
      <w:r w:rsidRPr="009D0F05">
        <w:t xml:space="preserve"> муниципальном районе»;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7. «О мерах по совершенствованию организации деятельности в области противодействия коррупции на территории Республики Карелия»;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8. «О рассмотрении плана работы Комиссии по координации работы по противодействию коррупции в Республике Карелия».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По итогам рассмотрения данных вопросов органам государственной власти, а также органам местного самоуправления были даны адресные поручения и рекомендации, направленные на повышение эффективности антикоррупционной деятельности в Республики Карелия.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rPr>
          <w:rStyle w:val="a4"/>
        </w:rPr>
        <w:t xml:space="preserve">2.3. Результаты </w:t>
      </w:r>
      <w:proofErr w:type="gramStart"/>
      <w:r w:rsidRPr="009D0F05">
        <w:rPr>
          <w:rStyle w:val="a4"/>
        </w:rPr>
        <w:t>работы комиссий органов государственной власти </w:t>
      </w:r>
      <w:r w:rsidRPr="009D0F05">
        <w:t>Республики</w:t>
      </w:r>
      <w:proofErr w:type="gramEnd"/>
      <w:r w:rsidRPr="009D0F05">
        <w:t xml:space="preserve"> Карелия по соблюдению требований к служебному поведению федеральных государственных служащих и урегулированию конфликта интересов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bookmarkStart w:id="0" w:name="_Hlk498331395"/>
      <w:bookmarkEnd w:id="0"/>
      <w:r w:rsidRPr="009D0F05">
        <w:t>Деятельность комиссий органов государственной власти Республики Карелия по соблюдению требований к служебному поведению государственных гражданских служащих Республики Карелия и урегулированию конфликта интересов (далее - комиссии) в 2017 году осуществлялась на основании действующих в органах государственной власти Республики Карелия положений о комиссиях.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В органах государственной власти Республики Карелия созданы и действуют 28 комиссий. В 2017</w:t>
      </w:r>
      <w:r w:rsidRPr="009D0F05">
        <w:rPr>
          <w:rStyle w:val="a4"/>
        </w:rPr>
        <w:t> </w:t>
      </w:r>
      <w:r w:rsidRPr="009D0F05">
        <w:t>году состоялось 39 заседаний комиссий (в 2016 году – 35 заседаний).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На заседаниях комиссий</w:t>
      </w:r>
      <w:r w:rsidRPr="009D0F05">
        <w:rPr>
          <w:rStyle w:val="a4"/>
        </w:rPr>
        <w:t> </w:t>
      </w:r>
      <w:r w:rsidRPr="009D0F05">
        <w:t>рассмотрены материалы в отношении 52 государственных гражданских служащих (в 2016 году – 48), из них: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- в отношении 30 государственных гражданских служащих - по факту предоставления недостоверных или неполных сведений о доходах, расходах, об имуществе и обязательствах имущественного характера, из них в отношении 27 государственных гражданских служащих комиссиями было установлено, что представленные ими сведения являются недостоверными и (или) неполными;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- в</w:t>
      </w:r>
      <w:r w:rsidRPr="009D0F05">
        <w:rPr>
          <w:rStyle w:val="a4"/>
        </w:rPr>
        <w:t> </w:t>
      </w:r>
      <w:r w:rsidRPr="009D0F05">
        <w:t>отношении 7 государственных гражданских служащих - о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детей, в отношении всех данных государственных гражданских служащих комиссиями было признано, что причина непредставления сведений является объективной и уважительной;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- в отношении 5 государственных гражданских служащих - о несоблюдении требований к служебному поведению и (или) требований об урегулировании конфликта интересов.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 xml:space="preserve">По итогам рассмотрения данных материалов, в отношении 4 государственных гражданских служащих комиссиями принято решение об отсутствии у них конфликта интересов при исполнении ими своих должностных обязанностей, а в отношении 1 принято решение о признании возможным возникновения конфликта интересов при исполнении им своих должностных обязанностей, в </w:t>
      </w:r>
      <w:proofErr w:type="gramStart"/>
      <w:r w:rsidRPr="009D0F05">
        <w:t>связи</w:t>
      </w:r>
      <w:proofErr w:type="gramEnd"/>
      <w:r w:rsidRPr="009D0F05">
        <w:t xml:space="preserve"> с чем руководителю органа исполнительной власти рекомендовано принять соответствующие меры, направленные на недопущение возникновения конфликта интересов;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proofErr w:type="gramStart"/>
      <w:r w:rsidRPr="009D0F05">
        <w:t xml:space="preserve">- в отношении 10 бывших государственных гражданских служащих - о даче согласия на замещение должности в коммерческой или некоммерческой организации либо на выполнение работы на </w:t>
      </w:r>
      <w:r w:rsidRPr="009D0F05">
        <w:lastRenderedPageBreak/>
        <w:t>условиях гражданско-правового характера, из них 9 комиссиями было дано согласие на замещение ими должностей в коммерческих или некоммерческих организациях либо на выполнение работ на условиях гражданско-правового договора в коммерческих или некоммерческих организации, одному бывшему государственному гражданскому служащему</w:t>
      </w:r>
      <w:proofErr w:type="gramEnd"/>
      <w:r w:rsidRPr="009D0F05">
        <w:t xml:space="preserve"> Государственной жилищной инспекции Республики Карелия было отказано в замещении должности в коммерческой организации.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rPr>
          <w:rStyle w:val="a4"/>
        </w:rPr>
        <w:t>2.4. Информация о результатах осуществления контроля и обеспечения соблюдения запретов, ограничений и требований, установленных в целях противодействия коррупции, уполномоченным органом исполнительной власти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 xml:space="preserve">В период с 1 июня по 1 декабря 2017 года в 20 органах исполнительной власти Республики Карелия Государственным контрольным комитетом Республики Карелия был проведен анализ сведений о доходах, расходах, об имуществе и обязательствах имущественного характера, представленных государственными гражданскими служащими Республики </w:t>
      </w:r>
      <w:proofErr w:type="gramStart"/>
      <w:r w:rsidRPr="009D0F05">
        <w:t>Карелия</w:t>
      </w:r>
      <w:proofErr w:type="gramEnd"/>
      <w:r w:rsidRPr="009D0F05">
        <w:t xml:space="preserve"> как в отношении себя, так и в отношении своих супруг, супругов и несовершеннолетних детей (далее – анализ сведений о доходах, справки о доходах), представленных за 2016 год.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В результате было проверено 1566 справок о доходах, представленных 509 гражданским служащими и членами их семей (в 2016 году - 2168).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proofErr w:type="gramStart"/>
      <w:r w:rsidRPr="009D0F05">
        <w:t>В целях осуществления контроля и обеспечения соблюдения запретов, ограничений и требований,</w:t>
      </w:r>
      <w:r w:rsidRPr="009D0F05">
        <w:rPr>
          <w:rStyle w:val="a4"/>
        </w:rPr>
        <w:t> </w:t>
      </w:r>
      <w:r w:rsidRPr="009D0F05">
        <w:t>установленных в целях противодействия коррупции</w:t>
      </w:r>
      <w:r w:rsidRPr="009D0F05">
        <w:rPr>
          <w:rStyle w:val="a4"/>
        </w:rPr>
        <w:t> </w:t>
      </w:r>
      <w:r w:rsidRPr="009D0F05">
        <w:t>Государственным контрольным комитетом Республики Карелия в 2017 году было инициировано проведение 19 проверок соблюдения государственными гражданскими служащими Республики Карелия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</w:t>
      </w:r>
      <w:proofErr w:type="gramEnd"/>
      <w:r w:rsidRPr="009D0F05">
        <w:t xml:space="preserve">» </w:t>
      </w:r>
      <w:proofErr w:type="gramStart"/>
      <w:r w:rsidRPr="009D0F05">
        <w:t>и другими федеральными законами (далее - проверки) (в 2016 году - 50) и 4 контроля за соответствием расходов доходу гражданского служащего за три последние года, предшествующих отчетному периоду, и об источниках получения средств, за счет которых совершена сделка (в 2016 году - 2), при этом 11 проверок было инициировано по данным анализа сведений о доходах, а 8 на основании информации, представленной прокуратурой Республикой</w:t>
      </w:r>
      <w:proofErr w:type="gramEnd"/>
      <w:r w:rsidRPr="009D0F05">
        <w:t xml:space="preserve"> Карелия и Министерством строительства и жилищно-коммунального хозяйства </w:t>
      </w:r>
      <w:r w:rsidRPr="009D0F05">
        <w:rPr>
          <w:rStyle w:val="a5"/>
          <w:i w:val="0"/>
        </w:rPr>
        <w:t>Российской</w:t>
      </w:r>
      <w:r w:rsidRPr="009D0F05">
        <w:t> Федерации.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По итогам контрольных мероприятий в отношении 17 государственных гражданских служащих применены меры юридической ответственности, в том числе в виде замечания - 6, выговора - 11.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Кроме того, в 2017 году Государственным контрольным комитетом Республики Карелия было окончено проведение 25 проверок, инициированных в 2016 году по итогам анализа сведений о доходах за 2015 год.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В результате к 9 государственным гражданским служащим была применена мера юридической ответственности в виде замечания, а к 1 в виде выговора.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Таким образом, общая численность государственных гражданских служащих Республики Карелия, подвергнутых взысканиям за совершенные в 2017 году нарушения требований законодательства о противодействии коррупции, составила 17 человек (в 2016 году - 22).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rPr>
          <w:rStyle w:val="a4"/>
        </w:rPr>
        <w:t>2.5. Анализ исполнения полномочий администрациями муниципальных районов Республики Карелия, в части организации работы по противодействию коррупции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В период с 2016 года по август 2017 года сотрудниками Государственного контрольного комитета Республики Карелия был осуществлен выезд в 15 муниципальных районов и 2 городских округа республики.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lastRenderedPageBreak/>
        <w:t>Руководителям и специалистам местных администраций оказана консультативная и методическая помощь по вопросам реализации мер антикоррупционной политики на территории муниципальных районов и городских округов.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 xml:space="preserve">В апреле 2017 года в г. Сегежа проведен первый кустовой семинар-совещание на тему «Актуальные вопросы противодействия коррупции в органах местного самоуправления» (участники из Сегежского, </w:t>
      </w:r>
      <w:proofErr w:type="spellStart"/>
      <w:r w:rsidRPr="009D0F05">
        <w:t>Лоухского</w:t>
      </w:r>
      <w:proofErr w:type="spellEnd"/>
      <w:r w:rsidRPr="009D0F05">
        <w:t xml:space="preserve">, </w:t>
      </w:r>
      <w:proofErr w:type="spellStart"/>
      <w:r w:rsidRPr="009D0F05">
        <w:t>Пудожского</w:t>
      </w:r>
      <w:proofErr w:type="spellEnd"/>
      <w:r w:rsidRPr="009D0F05">
        <w:t xml:space="preserve">, Беломорского, </w:t>
      </w:r>
      <w:proofErr w:type="spellStart"/>
      <w:r w:rsidRPr="009D0F05">
        <w:t>Кемского</w:t>
      </w:r>
      <w:proofErr w:type="spellEnd"/>
      <w:r w:rsidRPr="009D0F05">
        <w:t xml:space="preserve">, Медвежьегорского муниципальных районов, Сегежского, </w:t>
      </w:r>
      <w:proofErr w:type="spellStart"/>
      <w:r w:rsidRPr="009D0F05">
        <w:t>Надвоицкого</w:t>
      </w:r>
      <w:proofErr w:type="spellEnd"/>
      <w:r w:rsidRPr="009D0F05">
        <w:t>, Медвежьегорского городских поселений).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Одной из главных целей семинара стал обмен лучшими практиками и мнениями по ключевым вопросам реализации антикоррупционной политики в Республике Карелия.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proofErr w:type="gramStart"/>
      <w:r w:rsidRPr="009D0F05">
        <w:t>Во всех администрациях муниципальных районах и городских округах созданы комиссии по соблюдению требований к служебному поведению муниципальных служащих и урегулированию конфликта интересов, основными задачами которых являются содействие в обеспечении соблюдения муниципальными служащими ограничений и запретов, требований о предотвращении или урегулировании конфликта интересов (далее - комиссии), а также осуществление в администрациях мер по предупреждению коррупции.</w:t>
      </w:r>
      <w:proofErr w:type="gramEnd"/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 xml:space="preserve">Действующая нормативная правовая база в администрациях отвечает требованиям законодательства о противодействии коррупции, но имеются случаи, несвоевременного их приведения в соответствии с происходящими изменениями (например, в администрациях Сортавальского, </w:t>
      </w:r>
      <w:proofErr w:type="spellStart"/>
      <w:r w:rsidRPr="009D0F05">
        <w:t>Калевальского</w:t>
      </w:r>
      <w:proofErr w:type="spellEnd"/>
      <w:r w:rsidRPr="009D0F05">
        <w:t xml:space="preserve">, </w:t>
      </w:r>
      <w:proofErr w:type="spellStart"/>
      <w:r w:rsidRPr="009D0F05">
        <w:t>Прионежского</w:t>
      </w:r>
      <w:proofErr w:type="spellEnd"/>
      <w:r w:rsidRPr="009D0F05">
        <w:t xml:space="preserve">, </w:t>
      </w:r>
      <w:proofErr w:type="spellStart"/>
      <w:r w:rsidRPr="009D0F05">
        <w:t>Питкярантском</w:t>
      </w:r>
      <w:proofErr w:type="spellEnd"/>
      <w:r w:rsidRPr="009D0F05">
        <w:t xml:space="preserve">, </w:t>
      </w:r>
      <w:proofErr w:type="spellStart"/>
      <w:r w:rsidRPr="009D0F05">
        <w:t>Кондопожского</w:t>
      </w:r>
      <w:proofErr w:type="spellEnd"/>
      <w:r w:rsidRPr="009D0F05">
        <w:t xml:space="preserve"> муниципальных районов, в </w:t>
      </w:r>
      <w:proofErr w:type="spellStart"/>
      <w:r w:rsidRPr="009D0F05">
        <w:t>Олонецком</w:t>
      </w:r>
      <w:proofErr w:type="spellEnd"/>
      <w:r w:rsidRPr="009D0F05">
        <w:t xml:space="preserve"> национальном муниципальном районе).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По результатам ознакомления с работой по противодействию коррупции на местах можно констатировать, что работа комиссий по соблюдению требований к служебному поведению муниципальных служащих и урегулированию конфликта интересов администраций, нередко является достаточно формальной.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proofErr w:type="gramStart"/>
      <w:r w:rsidRPr="009D0F05">
        <w:t>Так, имеют место случаи проведения заседания комиссии по вопросам, не являющимися основанием для ее проведения (например, уведомление служащего о выполнении иной оплачиваемой работе, при этом муниципальный служащий указывает об отсутствии конфликта интересов, а Глава Администрации не возражает против выполнения иной оплачиваемой работы).</w:t>
      </w:r>
      <w:proofErr w:type="gramEnd"/>
      <w:r w:rsidRPr="009D0F05">
        <w:t xml:space="preserve"> Такие случаи отмечены в администрациях </w:t>
      </w:r>
      <w:proofErr w:type="spellStart"/>
      <w:r w:rsidRPr="009D0F05">
        <w:t>Пудожского</w:t>
      </w:r>
      <w:proofErr w:type="spellEnd"/>
      <w:r w:rsidRPr="009D0F05">
        <w:t xml:space="preserve">, Муезерского, Сортавальского, </w:t>
      </w:r>
      <w:proofErr w:type="spellStart"/>
      <w:r w:rsidRPr="009D0F05">
        <w:t>Суоярвского</w:t>
      </w:r>
      <w:proofErr w:type="spellEnd"/>
      <w:r w:rsidRPr="009D0F05">
        <w:t xml:space="preserve">, Медвежьегорского, </w:t>
      </w:r>
      <w:proofErr w:type="spellStart"/>
      <w:r w:rsidRPr="009D0F05">
        <w:t>Прионежского</w:t>
      </w:r>
      <w:proofErr w:type="spellEnd"/>
      <w:r w:rsidRPr="009D0F05">
        <w:t xml:space="preserve">, </w:t>
      </w:r>
      <w:proofErr w:type="spellStart"/>
      <w:r w:rsidRPr="009D0F05">
        <w:t>Лоухского</w:t>
      </w:r>
      <w:proofErr w:type="spellEnd"/>
      <w:r w:rsidRPr="009D0F05">
        <w:t xml:space="preserve"> муниципальных районов, </w:t>
      </w:r>
      <w:proofErr w:type="spellStart"/>
      <w:r w:rsidRPr="009D0F05">
        <w:t>Костомукшского</w:t>
      </w:r>
      <w:proofErr w:type="spellEnd"/>
      <w:r w:rsidRPr="009D0F05">
        <w:t xml:space="preserve"> городского округа.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proofErr w:type="gramStart"/>
      <w:r w:rsidRPr="009D0F05">
        <w:t>В нарушение статьи 10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в администрациях не осуществляется анализ сведений о доходах, расходах, об имуществе и обязательствах имущественного характера муниципальных служащих и не рассматривается информация о представлении сведений о доходах на заседаниях Комиссий.</w:t>
      </w:r>
      <w:proofErr w:type="gramEnd"/>
      <w:r w:rsidRPr="009D0F05">
        <w:t xml:space="preserve"> Такие нарушения выявлены в администрациях </w:t>
      </w:r>
      <w:proofErr w:type="spellStart"/>
      <w:r w:rsidRPr="009D0F05">
        <w:t>Прионежского</w:t>
      </w:r>
      <w:proofErr w:type="spellEnd"/>
      <w:r w:rsidRPr="009D0F05">
        <w:t xml:space="preserve">, </w:t>
      </w:r>
      <w:proofErr w:type="spellStart"/>
      <w:r w:rsidRPr="009D0F05">
        <w:t>Лоухского</w:t>
      </w:r>
      <w:proofErr w:type="spellEnd"/>
      <w:r w:rsidRPr="009D0F05">
        <w:t xml:space="preserve">, Медвежьегорского, </w:t>
      </w:r>
      <w:proofErr w:type="spellStart"/>
      <w:r w:rsidRPr="009D0F05">
        <w:t>Пудожского</w:t>
      </w:r>
      <w:proofErr w:type="spellEnd"/>
      <w:r w:rsidRPr="009D0F05">
        <w:t xml:space="preserve"> муниципальных районов, </w:t>
      </w:r>
      <w:proofErr w:type="spellStart"/>
      <w:r w:rsidRPr="009D0F05">
        <w:t>Пряжинского</w:t>
      </w:r>
      <w:proofErr w:type="spellEnd"/>
      <w:r w:rsidRPr="009D0F05">
        <w:t xml:space="preserve"> национального муниципального района, </w:t>
      </w:r>
      <w:proofErr w:type="spellStart"/>
      <w:r w:rsidRPr="009D0F05">
        <w:t>Костомукшского</w:t>
      </w:r>
      <w:proofErr w:type="spellEnd"/>
      <w:r w:rsidRPr="009D0F05">
        <w:t xml:space="preserve"> городского округа.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bookmarkStart w:id="1" w:name="_Hlk493691570"/>
      <w:bookmarkEnd w:id="1"/>
      <w:r w:rsidRPr="009D0F05">
        <w:t xml:space="preserve">В качестве положительного примера следует отметить работу комиссий в администрациях </w:t>
      </w:r>
      <w:proofErr w:type="spellStart"/>
      <w:r w:rsidRPr="009D0F05">
        <w:t>Лоухского</w:t>
      </w:r>
      <w:proofErr w:type="spellEnd"/>
      <w:r w:rsidRPr="009D0F05">
        <w:t xml:space="preserve"> муниципального района и </w:t>
      </w:r>
      <w:proofErr w:type="spellStart"/>
      <w:r w:rsidRPr="009D0F05">
        <w:t>Питкярантского</w:t>
      </w:r>
      <w:proofErr w:type="spellEnd"/>
      <w:r w:rsidRPr="009D0F05">
        <w:t xml:space="preserve"> городского поселения. </w:t>
      </w:r>
      <w:proofErr w:type="gramStart"/>
      <w:r w:rsidRPr="009D0F05">
        <w:t>В этих администрациях проводят проверки достоверности и полноты сведений о доходах, об имуществе и обязательствах имущественного характера в отношении муниципальных служащих, направляют соответствующие запросы в органы, осуществляющие государственную регистрацию прав на недвижимое имущество, в налоговые органы и рассматривают результаты проверок на заседаниях комиссий, где поднимается вопрос о применении к муниципальным служащим мер юридической ответственности.</w:t>
      </w:r>
      <w:proofErr w:type="gramEnd"/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rPr>
          <w:rStyle w:val="a4"/>
        </w:rPr>
        <w:lastRenderedPageBreak/>
        <w:t>III</w:t>
      </w:r>
      <w:r w:rsidRPr="009D0F05">
        <w:t> </w:t>
      </w:r>
      <w:r w:rsidRPr="009D0F05">
        <w:rPr>
          <w:rStyle w:val="a4"/>
        </w:rPr>
        <w:t>. Внутренний государственный финансовый контроль в сфере бюджетных правоотношений, государственный контроль в сфере закупок товаров, работ и услуг для обеспечения нужд Республики Карелия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rPr>
          <w:rStyle w:val="a4"/>
        </w:rPr>
        <w:t>3.1. Внутренний государственный финансовый контроль в сфере бюджетных правоотношений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В 2017 году внутренний государственный финансовый контроль осуществлялся Государственным контрольным комитетом Республики Карелия и Министерством финансов Республики Карелия (далее – органы внутреннего государственного финансового контроля).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В соответствии с постановлением Правительства Республики Карелия от 26 сентября 2017 года № 326-П «Вопросы органов исполнительной власти Республики Карелия» функции Государственного контрольного комитета Республики Карелия по внутреннему государственному финансовому контролю переданы Министерству финансов Республики Карелия.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Полномочиями органа внутреннего государственного финансового контроля по осуществлению внутреннего государственного финансового контроля являются: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 xml:space="preserve">- </w:t>
      </w:r>
      <w:proofErr w:type="gramStart"/>
      <w:r w:rsidRPr="009D0F05">
        <w:t>контроль за</w:t>
      </w:r>
      <w:proofErr w:type="gramEnd"/>
      <w:r w:rsidRPr="009D0F05"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 xml:space="preserve">- </w:t>
      </w:r>
      <w:proofErr w:type="gramStart"/>
      <w:r w:rsidRPr="009D0F05">
        <w:t>контроль за</w:t>
      </w:r>
      <w:proofErr w:type="gramEnd"/>
      <w:r w:rsidRPr="009D0F05">
        <w:t xml:space="preserve"> полнотой и достоверностью отчетности о реализации государственных программ, в том числе отчетности об исполнении государственных заданий;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proofErr w:type="gramStart"/>
      <w:r w:rsidRPr="009D0F05">
        <w:t>-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(далее - контроль в сфере закупок), предусмотренных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Контроль осуществляется за использованием средств бюджета Республики Карелия, а также межбюджетных трансфертов и бюджетных кредитов, предоставленных другому бюджету бюджетной системы Российской Федерации.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Плановая деятельность органа внутреннего государственного финансового контроля в 2017 году осуществлялась на основании плана контрольных мероприятий на первое полугодие 2017 года.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Внеплановая деятельность осуществлялась в соответствии с поручениями Правительства Республики Карелия и обращений правоохранительных органов.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Всего в 2017 году органами внутреннего государственного финансового контроля организовано и проведено 39 контрольных мероприятий.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На основании поручений Правительства Республики Карелия, обращений Прокуратуры Республики Карелия и иных контролирующих органов проведено 15 внеплановых контрольных мероприятий (38% от общего количества проведенных контрольных мероприятий).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Объектами контрольных мероприятий являлись: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- 23 органа исполнительной власти республики;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 xml:space="preserve">- 2 </w:t>
      </w:r>
      <w:proofErr w:type="gramStart"/>
      <w:r w:rsidRPr="009D0F05">
        <w:t>муниципальных</w:t>
      </w:r>
      <w:proofErr w:type="gramEnd"/>
      <w:r w:rsidRPr="009D0F05">
        <w:t xml:space="preserve"> района;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 xml:space="preserve">- 4 </w:t>
      </w:r>
      <w:proofErr w:type="gramStart"/>
      <w:r w:rsidRPr="009D0F05">
        <w:t>казенных</w:t>
      </w:r>
      <w:proofErr w:type="gramEnd"/>
      <w:r w:rsidRPr="009D0F05">
        <w:t xml:space="preserve"> учреждения;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lastRenderedPageBreak/>
        <w:t>- 8 бюджетных учреждений;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- 1 государственное унитарное предприятие;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- 1 общество с ограниченной ответственностью.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Кроме того, в 2017 году закончено оформление актов по 5-ти проверкам государственных учреждений, подведомственных Министерству культуры Республики Карелия, проведенным Государственным контрольным комитетом Республики Карелия в 2016 году.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Из общего количества контрольных мероприятий (с учетом проверок 2016 года оформление, которых закончено в 2017 году), нарушения бюджетного законодательства и законодательства в сфере закупок установлены по 34 контрольным мероприятиям.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Установлено 90 нарушений действующего законодательства.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 xml:space="preserve">Общая сумма выявленных финансовых нарушений составила – 133 228,8 </w:t>
      </w:r>
      <w:proofErr w:type="spellStart"/>
      <w:r w:rsidRPr="009D0F05">
        <w:t>тыс</w:t>
      </w:r>
      <w:proofErr w:type="gramStart"/>
      <w:r w:rsidRPr="009D0F05">
        <w:t>.р</w:t>
      </w:r>
      <w:proofErr w:type="gramEnd"/>
      <w:r w:rsidRPr="009D0F05">
        <w:t>уб</w:t>
      </w:r>
      <w:proofErr w:type="spellEnd"/>
      <w:r w:rsidRPr="009D0F05">
        <w:t xml:space="preserve">., из них подлежит устранению– 22 518,5 </w:t>
      </w:r>
      <w:proofErr w:type="spellStart"/>
      <w:r w:rsidRPr="009D0F05">
        <w:t>тыс.руб</w:t>
      </w:r>
      <w:proofErr w:type="spellEnd"/>
      <w:r w:rsidRPr="009D0F05">
        <w:t>. или 17%.</w:t>
      </w:r>
    </w:p>
    <w:p w:rsidR="009D0F05" w:rsidRPr="009D0F05" w:rsidRDefault="009D0F05" w:rsidP="009D0F05">
      <w:pPr>
        <w:pStyle w:val="a3"/>
        <w:shd w:val="clear" w:color="auto" w:fill="FFFFFF"/>
      </w:pPr>
      <w:r w:rsidRPr="009D0F05">
        <w:t>Структура выявленных нарушений: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72"/>
        <w:gridCol w:w="1452"/>
        <w:gridCol w:w="1436"/>
      </w:tblGrid>
      <w:tr w:rsidR="009D0F05" w:rsidRPr="009D0F05" w:rsidTr="009D0F05">
        <w:trPr>
          <w:tblCellSpacing w:w="0" w:type="dxa"/>
        </w:trPr>
        <w:tc>
          <w:tcPr>
            <w:tcW w:w="6015" w:type="dxa"/>
            <w:shd w:val="clear" w:color="auto" w:fill="FFFFFF"/>
            <w:vAlign w:val="center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Вид нарушения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Сумма, тыс. руб.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Доля, %</w:t>
            </w:r>
          </w:p>
        </w:tc>
      </w:tr>
      <w:tr w:rsidR="009D0F05" w:rsidRPr="009D0F05" w:rsidTr="009D0F05">
        <w:trPr>
          <w:tblCellSpacing w:w="0" w:type="dxa"/>
        </w:trPr>
        <w:tc>
          <w:tcPr>
            <w:tcW w:w="6015" w:type="dxa"/>
            <w:shd w:val="clear" w:color="auto" w:fill="FFFFFF"/>
            <w:hideMark/>
          </w:tcPr>
          <w:p w:rsidR="009D0F05" w:rsidRPr="009D0F05" w:rsidRDefault="009D0F05">
            <w:pPr>
              <w:pStyle w:val="a3"/>
            </w:pPr>
            <w:r w:rsidRPr="009D0F05">
              <w:t>НАРУШЕНИЯ ПРИ ФОРМИРОВАНИИ И ИСПОЛНЕНИИ БЮДЖЕТОВ</w:t>
            </w:r>
          </w:p>
        </w:tc>
        <w:tc>
          <w:tcPr>
            <w:tcW w:w="1350" w:type="dxa"/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40 279</w:t>
            </w:r>
          </w:p>
        </w:tc>
        <w:tc>
          <w:tcPr>
            <w:tcW w:w="1335" w:type="dxa"/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30,2</w:t>
            </w:r>
          </w:p>
        </w:tc>
      </w:tr>
      <w:tr w:rsidR="009D0F05" w:rsidRPr="009D0F05" w:rsidTr="009D0F05">
        <w:trPr>
          <w:tblCellSpacing w:w="0" w:type="dxa"/>
        </w:trPr>
        <w:tc>
          <w:tcPr>
            <w:tcW w:w="6015" w:type="dxa"/>
            <w:shd w:val="clear" w:color="auto" w:fill="FFFFFF"/>
            <w:hideMark/>
          </w:tcPr>
          <w:p w:rsidR="009D0F05" w:rsidRPr="009D0F05" w:rsidRDefault="009D0F05">
            <w:pPr>
              <w:pStyle w:val="a3"/>
            </w:pPr>
            <w:r w:rsidRPr="009D0F05">
              <w:t>-нецелевое расходование средств бюджета</w:t>
            </w:r>
          </w:p>
        </w:tc>
        <w:tc>
          <w:tcPr>
            <w:tcW w:w="1350" w:type="dxa"/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9 379,4</w:t>
            </w:r>
          </w:p>
        </w:tc>
        <w:tc>
          <w:tcPr>
            <w:tcW w:w="1335" w:type="dxa"/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23,3</w:t>
            </w:r>
          </w:p>
        </w:tc>
      </w:tr>
      <w:tr w:rsidR="009D0F05" w:rsidRPr="009D0F05" w:rsidTr="009D0F05">
        <w:trPr>
          <w:tblCellSpacing w:w="0" w:type="dxa"/>
        </w:trPr>
        <w:tc>
          <w:tcPr>
            <w:tcW w:w="6015" w:type="dxa"/>
            <w:shd w:val="clear" w:color="auto" w:fill="FFFFFF"/>
            <w:hideMark/>
          </w:tcPr>
          <w:p w:rsidR="009D0F05" w:rsidRPr="009D0F05" w:rsidRDefault="009D0F05">
            <w:pPr>
              <w:pStyle w:val="a3"/>
            </w:pPr>
            <w:r w:rsidRPr="009D0F05">
              <w:t>-неэффективное использование средств бюджета</w:t>
            </w:r>
          </w:p>
        </w:tc>
        <w:tc>
          <w:tcPr>
            <w:tcW w:w="1350" w:type="dxa"/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13 455,5</w:t>
            </w:r>
          </w:p>
        </w:tc>
        <w:tc>
          <w:tcPr>
            <w:tcW w:w="1335" w:type="dxa"/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33,4</w:t>
            </w:r>
          </w:p>
        </w:tc>
      </w:tr>
      <w:tr w:rsidR="009D0F05" w:rsidRPr="009D0F05" w:rsidTr="009D0F05">
        <w:trPr>
          <w:tblCellSpacing w:w="0" w:type="dxa"/>
        </w:trPr>
        <w:tc>
          <w:tcPr>
            <w:tcW w:w="6015" w:type="dxa"/>
            <w:shd w:val="clear" w:color="auto" w:fill="FFFFFF"/>
            <w:hideMark/>
          </w:tcPr>
          <w:p w:rsidR="009D0F05" w:rsidRPr="009D0F05" w:rsidRDefault="009D0F05">
            <w:pPr>
              <w:pStyle w:val="a3"/>
            </w:pPr>
            <w:r w:rsidRPr="009D0F05">
              <w:t>-неправомерное расходование средств бюджета</w:t>
            </w:r>
          </w:p>
        </w:tc>
        <w:tc>
          <w:tcPr>
            <w:tcW w:w="1350" w:type="dxa"/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8 237,3</w:t>
            </w:r>
          </w:p>
        </w:tc>
        <w:tc>
          <w:tcPr>
            <w:tcW w:w="1335" w:type="dxa"/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20,5</w:t>
            </w:r>
          </w:p>
        </w:tc>
      </w:tr>
      <w:tr w:rsidR="009D0F05" w:rsidRPr="009D0F05" w:rsidTr="009D0F05">
        <w:trPr>
          <w:tblCellSpacing w:w="0" w:type="dxa"/>
        </w:trPr>
        <w:tc>
          <w:tcPr>
            <w:tcW w:w="6015" w:type="dxa"/>
            <w:shd w:val="clear" w:color="auto" w:fill="FFFFFF"/>
            <w:hideMark/>
          </w:tcPr>
          <w:p w:rsidR="009D0F05" w:rsidRPr="009D0F05" w:rsidRDefault="009D0F05">
            <w:pPr>
              <w:pStyle w:val="a3"/>
            </w:pPr>
            <w:r w:rsidRPr="009D0F05">
              <w:t>-нарушение порядка и условий предоставления субсидий юридическим лицам</w:t>
            </w:r>
          </w:p>
        </w:tc>
        <w:tc>
          <w:tcPr>
            <w:tcW w:w="1350" w:type="dxa"/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7 809,8</w:t>
            </w:r>
          </w:p>
        </w:tc>
        <w:tc>
          <w:tcPr>
            <w:tcW w:w="1335" w:type="dxa"/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19,4</w:t>
            </w:r>
          </w:p>
        </w:tc>
      </w:tr>
      <w:tr w:rsidR="009D0F05" w:rsidRPr="009D0F05" w:rsidTr="009D0F05">
        <w:trPr>
          <w:tblCellSpacing w:w="0" w:type="dxa"/>
        </w:trPr>
        <w:tc>
          <w:tcPr>
            <w:tcW w:w="6015" w:type="dxa"/>
            <w:shd w:val="clear" w:color="auto" w:fill="FFFFFF"/>
            <w:hideMark/>
          </w:tcPr>
          <w:p w:rsidR="009D0F05" w:rsidRPr="009D0F05" w:rsidRDefault="009D0F05">
            <w:pPr>
              <w:pStyle w:val="a3"/>
            </w:pPr>
            <w:r w:rsidRPr="009D0F05">
              <w:t>-принятие бюджетных обязатель</w:t>
            </w:r>
            <w:proofErr w:type="gramStart"/>
            <w:r w:rsidRPr="009D0F05">
              <w:t>ств св</w:t>
            </w:r>
            <w:proofErr w:type="gramEnd"/>
            <w:r w:rsidRPr="009D0F05">
              <w:t>ыше лимитов</w:t>
            </w:r>
          </w:p>
        </w:tc>
        <w:tc>
          <w:tcPr>
            <w:tcW w:w="1350" w:type="dxa"/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99,5</w:t>
            </w:r>
          </w:p>
        </w:tc>
        <w:tc>
          <w:tcPr>
            <w:tcW w:w="1335" w:type="dxa"/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0,2</w:t>
            </w:r>
          </w:p>
        </w:tc>
      </w:tr>
      <w:tr w:rsidR="009D0F05" w:rsidRPr="009D0F05" w:rsidTr="009D0F05">
        <w:trPr>
          <w:tblCellSpacing w:w="0" w:type="dxa"/>
        </w:trPr>
        <w:tc>
          <w:tcPr>
            <w:tcW w:w="6015" w:type="dxa"/>
            <w:shd w:val="clear" w:color="auto" w:fill="FFFFFF"/>
            <w:hideMark/>
          </w:tcPr>
          <w:p w:rsidR="009D0F05" w:rsidRPr="009D0F05" w:rsidRDefault="009D0F05">
            <w:pPr>
              <w:pStyle w:val="a3"/>
            </w:pPr>
            <w:r w:rsidRPr="009D0F05">
              <w:t>-нарушение порядка учета бюджетных обязательств</w:t>
            </w:r>
          </w:p>
        </w:tc>
        <w:tc>
          <w:tcPr>
            <w:tcW w:w="1350" w:type="dxa"/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116,6</w:t>
            </w:r>
          </w:p>
        </w:tc>
        <w:tc>
          <w:tcPr>
            <w:tcW w:w="1335" w:type="dxa"/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0,3</w:t>
            </w:r>
          </w:p>
        </w:tc>
      </w:tr>
      <w:tr w:rsidR="009D0F05" w:rsidRPr="009D0F05" w:rsidTr="009D0F05">
        <w:trPr>
          <w:tblCellSpacing w:w="0" w:type="dxa"/>
        </w:trPr>
        <w:tc>
          <w:tcPr>
            <w:tcW w:w="6015" w:type="dxa"/>
            <w:shd w:val="clear" w:color="auto" w:fill="FFFFFF"/>
            <w:hideMark/>
          </w:tcPr>
          <w:p w:rsidR="009D0F05" w:rsidRPr="009D0F05" w:rsidRDefault="009D0F05">
            <w:pPr>
              <w:pStyle w:val="a3"/>
            </w:pPr>
            <w:r w:rsidRPr="009D0F05">
              <w:t>Выделение и расходование средств субсидии для организации и проведения мероприятий после их фактического проведения (прочие)</w:t>
            </w:r>
          </w:p>
        </w:tc>
        <w:tc>
          <w:tcPr>
            <w:tcW w:w="1350" w:type="dxa"/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1 181,2</w:t>
            </w:r>
          </w:p>
        </w:tc>
        <w:tc>
          <w:tcPr>
            <w:tcW w:w="1335" w:type="dxa"/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3,0</w:t>
            </w:r>
          </w:p>
        </w:tc>
      </w:tr>
      <w:tr w:rsidR="009D0F05" w:rsidRPr="009D0F05" w:rsidTr="009D0F05">
        <w:trPr>
          <w:tblCellSpacing w:w="0" w:type="dxa"/>
        </w:trPr>
        <w:tc>
          <w:tcPr>
            <w:tcW w:w="6015" w:type="dxa"/>
            <w:shd w:val="clear" w:color="auto" w:fill="FFFFFF"/>
            <w:hideMark/>
          </w:tcPr>
          <w:p w:rsidR="009D0F05" w:rsidRPr="009D0F05" w:rsidRDefault="009D0F05">
            <w:pPr>
              <w:pStyle w:val="a3"/>
            </w:pPr>
            <w:r w:rsidRPr="009D0F05"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350" w:type="dxa"/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768</w:t>
            </w:r>
          </w:p>
        </w:tc>
        <w:tc>
          <w:tcPr>
            <w:tcW w:w="1335" w:type="dxa"/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0,6</w:t>
            </w:r>
          </w:p>
        </w:tc>
      </w:tr>
      <w:tr w:rsidR="009D0F05" w:rsidRPr="009D0F05" w:rsidTr="009D0F05">
        <w:trPr>
          <w:tblCellSpacing w:w="0" w:type="dxa"/>
        </w:trPr>
        <w:tc>
          <w:tcPr>
            <w:tcW w:w="6015" w:type="dxa"/>
            <w:shd w:val="clear" w:color="auto" w:fill="FFFFFF"/>
            <w:hideMark/>
          </w:tcPr>
          <w:p w:rsidR="009D0F05" w:rsidRPr="009D0F05" w:rsidRDefault="009D0F05">
            <w:pPr>
              <w:pStyle w:val="a3"/>
            </w:pPr>
            <w:r w:rsidRPr="009D0F05">
              <w:t>Нарушения ведения бухгалтерского учета, составления отчетности</w:t>
            </w:r>
          </w:p>
        </w:tc>
        <w:tc>
          <w:tcPr>
            <w:tcW w:w="1350" w:type="dxa"/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1 846</w:t>
            </w:r>
          </w:p>
        </w:tc>
        <w:tc>
          <w:tcPr>
            <w:tcW w:w="1335" w:type="dxa"/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1,5</w:t>
            </w:r>
          </w:p>
        </w:tc>
      </w:tr>
      <w:tr w:rsidR="009D0F05" w:rsidRPr="009D0F05" w:rsidTr="009D0F05">
        <w:trPr>
          <w:tblCellSpacing w:w="0" w:type="dxa"/>
        </w:trPr>
        <w:tc>
          <w:tcPr>
            <w:tcW w:w="6015" w:type="dxa"/>
            <w:shd w:val="clear" w:color="auto" w:fill="FFFFFF"/>
            <w:hideMark/>
          </w:tcPr>
          <w:p w:rsidR="009D0F05" w:rsidRPr="009D0F05" w:rsidRDefault="009D0F05">
            <w:pPr>
              <w:pStyle w:val="a3"/>
            </w:pPr>
            <w:r w:rsidRPr="009D0F05">
              <w:t>Нарушения в сфере закупок</w:t>
            </w:r>
          </w:p>
        </w:tc>
        <w:tc>
          <w:tcPr>
            <w:tcW w:w="1350" w:type="dxa"/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89 898,8</w:t>
            </w:r>
          </w:p>
        </w:tc>
        <w:tc>
          <w:tcPr>
            <w:tcW w:w="1335" w:type="dxa"/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67,5</w:t>
            </w:r>
          </w:p>
        </w:tc>
      </w:tr>
      <w:tr w:rsidR="009D0F05" w:rsidRPr="009D0F05" w:rsidTr="009D0F05">
        <w:trPr>
          <w:tblCellSpacing w:w="0" w:type="dxa"/>
        </w:trPr>
        <w:tc>
          <w:tcPr>
            <w:tcW w:w="6015" w:type="dxa"/>
            <w:shd w:val="clear" w:color="auto" w:fill="FFFFFF"/>
            <w:hideMark/>
          </w:tcPr>
          <w:p w:rsidR="009D0F05" w:rsidRPr="009D0F05" w:rsidRDefault="009D0F05">
            <w:pPr>
              <w:pStyle w:val="a3"/>
            </w:pPr>
            <w:r w:rsidRPr="009D0F05">
              <w:t>нарушение условий контракта при приёмке работ</w:t>
            </w:r>
          </w:p>
        </w:tc>
        <w:tc>
          <w:tcPr>
            <w:tcW w:w="1350" w:type="dxa"/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89 843</w:t>
            </w:r>
          </w:p>
        </w:tc>
        <w:tc>
          <w:tcPr>
            <w:tcW w:w="1335" w:type="dxa"/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99,9</w:t>
            </w:r>
          </w:p>
        </w:tc>
      </w:tr>
      <w:tr w:rsidR="009D0F05" w:rsidRPr="009D0F05" w:rsidTr="009D0F05">
        <w:trPr>
          <w:tblCellSpacing w:w="0" w:type="dxa"/>
        </w:trPr>
        <w:tc>
          <w:tcPr>
            <w:tcW w:w="6015" w:type="dxa"/>
            <w:shd w:val="clear" w:color="auto" w:fill="FFFFFF"/>
            <w:hideMark/>
          </w:tcPr>
          <w:p w:rsidR="009D0F05" w:rsidRPr="009D0F05" w:rsidRDefault="009D0F05">
            <w:pPr>
              <w:pStyle w:val="a3"/>
            </w:pPr>
            <w:proofErr w:type="gramStart"/>
            <w:r>
              <w:t>не предъяв</w:t>
            </w:r>
            <w:r w:rsidRPr="009D0F05">
              <w:t>ление</w:t>
            </w:r>
            <w:proofErr w:type="gramEnd"/>
            <w:r w:rsidRPr="009D0F05">
              <w:t xml:space="preserve"> штрафных санкций за нарушение условий исполнения контрактов</w:t>
            </w:r>
          </w:p>
        </w:tc>
        <w:tc>
          <w:tcPr>
            <w:tcW w:w="1350" w:type="dxa"/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437</w:t>
            </w:r>
          </w:p>
        </w:tc>
        <w:tc>
          <w:tcPr>
            <w:tcW w:w="1335" w:type="dxa"/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0,3</w:t>
            </w:r>
          </w:p>
        </w:tc>
      </w:tr>
      <w:tr w:rsidR="009D0F05" w:rsidRPr="009D0F05" w:rsidTr="009D0F05">
        <w:trPr>
          <w:tblCellSpacing w:w="0" w:type="dxa"/>
        </w:trPr>
        <w:tc>
          <w:tcPr>
            <w:tcW w:w="6015" w:type="dxa"/>
            <w:shd w:val="clear" w:color="auto" w:fill="FFFFFF"/>
            <w:hideMark/>
          </w:tcPr>
          <w:p w:rsidR="009D0F05" w:rsidRPr="009D0F05" w:rsidRDefault="009D0F05">
            <w:pPr>
              <w:pStyle w:val="a3"/>
            </w:pPr>
            <w:r w:rsidRPr="009D0F05">
              <w:lastRenderedPageBreak/>
              <w:t>Всего финансовых нарушений</w:t>
            </w:r>
          </w:p>
        </w:tc>
        <w:tc>
          <w:tcPr>
            <w:tcW w:w="1350" w:type="dxa"/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133 228,8</w:t>
            </w:r>
          </w:p>
        </w:tc>
        <w:tc>
          <w:tcPr>
            <w:tcW w:w="1335" w:type="dxa"/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100</w:t>
            </w:r>
          </w:p>
        </w:tc>
      </w:tr>
    </w:tbl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Результаты контрольных мероприятий доведены до сведения Главы Республики Карелия, руководителей соответствующих органов исполнительной власти республики.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 xml:space="preserve">В 2017 году объектам контроля направлено 10 представлений с требованием о принятии мер по устранению причин и условий выявленных нарушений на сумму 24 930 </w:t>
      </w:r>
      <w:proofErr w:type="spellStart"/>
      <w:r w:rsidRPr="009D0F05">
        <w:t>тыс</w:t>
      </w:r>
      <w:proofErr w:type="gramStart"/>
      <w:r w:rsidRPr="009D0F05">
        <w:t>.р</w:t>
      </w:r>
      <w:proofErr w:type="gramEnd"/>
      <w:r w:rsidRPr="009D0F05">
        <w:t>уб</w:t>
      </w:r>
      <w:proofErr w:type="spellEnd"/>
      <w:r w:rsidRPr="009D0F05">
        <w:t xml:space="preserve">. и 5 предписаний с требованием о возмещении средств в бюджет Республики Карелия на сумму 10 970 </w:t>
      </w:r>
      <w:proofErr w:type="spellStart"/>
      <w:r w:rsidRPr="009D0F05">
        <w:t>тыс.руб</w:t>
      </w:r>
      <w:proofErr w:type="spellEnd"/>
      <w:r w:rsidRPr="009D0F05">
        <w:t>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 xml:space="preserve">В целях исполнения предписаний и представлений объектами контроля устранено нарушений и принято мер по недопущению аналогичных нарушений, на сумму 4 071 </w:t>
      </w:r>
      <w:proofErr w:type="spellStart"/>
      <w:r w:rsidRPr="009D0F05">
        <w:t>тыс</w:t>
      </w:r>
      <w:proofErr w:type="gramStart"/>
      <w:r w:rsidRPr="009D0F05">
        <w:t>.р</w:t>
      </w:r>
      <w:proofErr w:type="gramEnd"/>
      <w:r w:rsidRPr="009D0F05">
        <w:t>уб</w:t>
      </w:r>
      <w:proofErr w:type="spellEnd"/>
      <w:r w:rsidRPr="009D0F05">
        <w:t>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 xml:space="preserve">Кроме того, органом внутреннего государственного финансового контроля передана информация для принятия мер в пределах компетенции иным органам контроля на сумму 10 568 </w:t>
      </w:r>
      <w:proofErr w:type="spellStart"/>
      <w:r w:rsidRPr="009D0F05">
        <w:t>тыс</w:t>
      </w:r>
      <w:proofErr w:type="gramStart"/>
      <w:r w:rsidRPr="009D0F05">
        <w:t>.р</w:t>
      </w:r>
      <w:proofErr w:type="gramEnd"/>
      <w:r w:rsidRPr="009D0F05">
        <w:t>уб</w:t>
      </w:r>
      <w:proofErr w:type="spellEnd"/>
      <w:r w:rsidRPr="009D0F05">
        <w:t>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Всего в 2017 году устранено нарушений и принято мер по результатам контрольных мероприятий:</w:t>
      </w:r>
    </w:p>
    <w:tbl>
      <w:tblPr>
        <w:tblW w:w="94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36"/>
        <w:gridCol w:w="32"/>
        <w:gridCol w:w="2552"/>
      </w:tblGrid>
      <w:tr w:rsidR="009D0F05" w:rsidRPr="009D0F05" w:rsidTr="009D0F05">
        <w:trPr>
          <w:tblCellSpacing w:w="0" w:type="dxa"/>
          <w:jc w:val="center"/>
        </w:trPr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Вид нарушения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 xml:space="preserve">Объем устраненных нарушений в 2017 году, </w:t>
            </w:r>
            <w:proofErr w:type="spellStart"/>
            <w:r w:rsidRPr="009D0F05">
              <w:t>тыс</w:t>
            </w:r>
            <w:proofErr w:type="gramStart"/>
            <w:r w:rsidRPr="009D0F05">
              <w:t>.р</w:t>
            </w:r>
            <w:proofErr w:type="gramEnd"/>
            <w:r w:rsidRPr="009D0F05">
              <w:t>уб</w:t>
            </w:r>
            <w:proofErr w:type="spellEnd"/>
            <w:r w:rsidRPr="009D0F05">
              <w:t>.</w:t>
            </w:r>
          </w:p>
        </w:tc>
      </w:tr>
      <w:tr w:rsidR="009D0F05" w:rsidRPr="009D0F05" w:rsidTr="009D0F05">
        <w:trPr>
          <w:tblCellSpacing w:w="0" w:type="dxa"/>
          <w:jc w:val="center"/>
        </w:trPr>
        <w:tc>
          <w:tcPr>
            <w:tcW w:w="6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F05" w:rsidRPr="009D0F05" w:rsidRDefault="009D0F05">
            <w:pPr>
              <w:pStyle w:val="a3"/>
            </w:pPr>
            <w:r w:rsidRPr="009D0F05">
              <w:t>ВСЕГО: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14 648</w:t>
            </w:r>
          </w:p>
        </w:tc>
      </w:tr>
      <w:tr w:rsidR="009D0F05" w:rsidRPr="009D0F05" w:rsidTr="009D0F05">
        <w:trPr>
          <w:tblCellSpacing w:w="0" w:type="dxa"/>
          <w:jc w:val="center"/>
        </w:trPr>
        <w:tc>
          <w:tcPr>
            <w:tcW w:w="6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F05" w:rsidRPr="009D0F05" w:rsidRDefault="009D0F05">
            <w:pPr>
              <w:pStyle w:val="a3"/>
            </w:pPr>
            <w:r w:rsidRPr="009D0F05">
              <w:t>-восстановлено в добровольном порядке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272</w:t>
            </w:r>
          </w:p>
        </w:tc>
      </w:tr>
      <w:tr w:rsidR="009D0F05" w:rsidRPr="009D0F05" w:rsidTr="009D0F05">
        <w:trPr>
          <w:tblCellSpacing w:w="0" w:type="dxa"/>
          <w:jc w:val="center"/>
        </w:trPr>
        <w:tc>
          <w:tcPr>
            <w:tcW w:w="6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F05" w:rsidRPr="009D0F05" w:rsidRDefault="009D0F05">
            <w:pPr>
              <w:pStyle w:val="a3"/>
            </w:pPr>
            <w:r w:rsidRPr="009D0F05">
              <w:t>-подтверждено документально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878</w:t>
            </w:r>
          </w:p>
        </w:tc>
      </w:tr>
      <w:tr w:rsidR="009D0F05" w:rsidRPr="009D0F05" w:rsidTr="009D0F05">
        <w:trPr>
          <w:tblCellSpacing w:w="0" w:type="dxa"/>
          <w:jc w:val="center"/>
        </w:trPr>
        <w:tc>
          <w:tcPr>
            <w:tcW w:w="6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F05" w:rsidRPr="009D0F05" w:rsidRDefault="009D0F05">
            <w:pPr>
              <w:pStyle w:val="a3"/>
            </w:pPr>
            <w:r w:rsidRPr="009D0F05">
              <w:t>-приняты меры (передано в правоохранительные органы, судебные органы, иные контролирующие органы)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11 823</w:t>
            </w:r>
          </w:p>
        </w:tc>
      </w:tr>
      <w:tr w:rsidR="009D0F05" w:rsidRPr="009D0F05" w:rsidTr="009D0F05">
        <w:trPr>
          <w:tblCellSpacing w:w="0" w:type="dxa"/>
          <w:jc w:val="center"/>
        </w:trPr>
        <w:tc>
          <w:tcPr>
            <w:tcW w:w="6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F05" w:rsidRPr="009D0F05" w:rsidRDefault="009D0F05">
            <w:pPr>
              <w:pStyle w:val="a3"/>
            </w:pPr>
            <w:r w:rsidRPr="009D0F05">
              <w:t>-внесены изменения в отчетность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1 675</w:t>
            </w:r>
          </w:p>
        </w:tc>
      </w:tr>
    </w:tbl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По результатам проверок руководителями объектов контроля к 5 должностным лицам были применены меры дисциплинарной и материальной ответственности: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БУ «</w:t>
      </w:r>
      <w:proofErr w:type="gramStart"/>
      <w:r w:rsidRPr="009D0F05">
        <w:t>Карельская</w:t>
      </w:r>
      <w:proofErr w:type="gramEnd"/>
      <w:r w:rsidRPr="009D0F05">
        <w:t xml:space="preserve"> </w:t>
      </w:r>
      <w:proofErr w:type="spellStart"/>
      <w:r w:rsidRPr="009D0F05">
        <w:t>госфилармония</w:t>
      </w:r>
      <w:proofErr w:type="spellEnd"/>
      <w:r w:rsidRPr="009D0F05">
        <w:t>», ГКУ РК «ЭТУ по делам гражданской обороны и чрезвычайным ситуациям РК», ГУП РК «</w:t>
      </w:r>
      <w:proofErr w:type="spellStart"/>
      <w:r w:rsidRPr="009D0F05">
        <w:t>Карелфарм</w:t>
      </w:r>
      <w:proofErr w:type="spellEnd"/>
      <w:r w:rsidRPr="009D0F05">
        <w:t>».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В 2017 году вынесено 20 постановлений по делам об административных правонарушениях, в том числе по проверкам 2016 года - 6 постановлений, по проверкам 2017 года - 14 постановлений.</w:t>
      </w:r>
    </w:p>
    <w:p w:rsidR="009D0F05" w:rsidRPr="009D0F05" w:rsidRDefault="009D0F05" w:rsidP="009D0F05">
      <w:pPr>
        <w:pStyle w:val="a3"/>
        <w:shd w:val="clear" w:color="auto" w:fill="FFFFFF"/>
      </w:pPr>
      <w:r w:rsidRPr="009D0F05">
        <w:t>Виды административного производства: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1"/>
        <w:gridCol w:w="6960"/>
        <w:gridCol w:w="1904"/>
      </w:tblGrid>
      <w:tr w:rsidR="009D0F05" w:rsidRPr="009D0F05" w:rsidTr="009D0F05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 xml:space="preserve">№ </w:t>
            </w:r>
            <w:proofErr w:type="gramStart"/>
            <w:r w:rsidRPr="009D0F05">
              <w:t>п</w:t>
            </w:r>
            <w:proofErr w:type="gramEnd"/>
            <w:r w:rsidRPr="009D0F05">
              <w:t>/п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Вид административного производства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Количество постановлений</w:t>
            </w:r>
          </w:p>
        </w:tc>
      </w:tr>
      <w:tr w:rsidR="009D0F05" w:rsidRPr="009D0F05" w:rsidTr="009D0F05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1.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>
            <w:pPr>
              <w:pStyle w:val="a3"/>
            </w:pPr>
            <w:r w:rsidRPr="009D0F05">
              <w:t>Административное производство, возбужденное на основании нарушений бюджетного законодательства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13</w:t>
            </w:r>
          </w:p>
        </w:tc>
      </w:tr>
      <w:tr w:rsidR="009D0F05" w:rsidRPr="009D0F05" w:rsidTr="009D0F05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2.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>
            <w:pPr>
              <w:pStyle w:val="a3"/>
            </w:pPr>
            <w:r w:rsidRPr="009D0F05">
              <w:t>Административное производство, возбужденное на основании нарушений законодательства по закупкам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6</w:t>
            </w:r>
          </w:p>
        </w:tc>
      </w:tr>
      <w:tr w:rsidR="009D0F05" w:rsidRPr="009D0F05" w:rsidTr="009D0F05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3.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>
            <w:pPr>
              <w:pStyle w:val="a3"/>
            </w:pPr>
            <w:r w:rsidRPr="009D0F05">
              <w:t xml:space="preserve">Административное производство, возбужденное на основании </w:t>
            </w:r>
            <w:r w:rsidRPr="009D0F05">
              <w:lastRenderedPageBreak/>
              <w:t>нарушений административного производства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lastRenderedPageBreak/>
              <w:t>1</w:t>
            </w:r>
          </w:p>
        </w:tc>
      </w:tr>
      <w:tr w:rsidR="009D0F05" w:rsidRPr="009D0F05" w:rsidTr="009D0F05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/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>
            <w:pPr>
              <w:pStyle w:val="a3"/>
            </w:pPr>
            <w:r w:rsidRPr="009D0F05">
              <w:t>ИТОГО: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20</w:t>
            </w:r>
          </w:p>
        </w:tc>
      </w:tr>
    </w:tbl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2 постановления обжаловано в судебном порядке, 3 прекращено в связи с истечением срока давности.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 xml:space="preserve">Привлечено к ответственности 15 должностных лиц в виде штрафа на общую сумму 245,0 </w:t>
      </w:r>
      <w:proofErr w:type="spellStart"/>
      <w:r w:rsidRPr="009D0F05">
        <w:t>тыс</w:t>
      </w:r>
      <w:proofErr w:type="gramStart"/>
      <w:r w:rsidRPr="009D0F05">
        <w:t>.р</w:t>
      </w:r>
      <w:proofErr w:type="gramEnd"/>
      <w:r w:rsidRPr="009D0F05">
        <w:t>уб</w:t>
      </w:r>
      <w:proofErr w:type="spellEnd"/>
      <w:r w:rsidRPr="009D0F05">
        <w:t>., 1 бюджетное учреждение на сумму 2,5 тыс. руб.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 xml:space="preserve">Оплачено штрафов на сумму 247,5 </w:t>
      </w:r>
      <w:proofErr w:type="spellStart"/>
      <w:r w:rsidRPr="009D0F05">
        <w:t>тыс</w:t>
      </w:r>
      <w:proofErr w:type="gramStart"/>
      <w:r w:rsidRPr="009D0F05">
        <w:t>.р</w:t>
      </w:r>
      <w:proofErr w:type="gramEnd"/>
      <w:r w:rsidRPr="009D0F05">
        <w:t>уб</w:t>
      </w:r>
      <w:proofErr w:type="spellEnd"/>
      <w:r w:rsidRPr="009D0F05">
        <w:t>. или 100% от суммы, назначенной постановлениями.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 xml:space="preserve">Составы административных правонарушений </w:t>
      </w:r>
      <w:proofErr w:type="gramStart"/>
      <w:r w:rsidRPr="009D0F05">
        <w:t>по</w:t>
      </w:r>
      <w:proofErr w:type="gramEnd"/>
      <w:r w:rsidRPr="009D0F05">
        <w:t xml:space="preserve"> рассмотренным органом внутреннего государственного финансового контроля:</w:t>
      </w:r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63"/>
        <w:gridCol w:w="6730"/>
        <w:gridCol w:w="1367"/>
      </w:tblGrid>
      <w:tr w:rsidR="009D0F05" w:rsidRPr="009D0F05" w:rsidTr="009D0F05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ст. КоАП РФ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Наименование состава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Удельный вес, %</w:t>
            </w:r>
          </w:p>
        </w:tc>
      </w:tr>
      <w:tr w:rsidR="009D0F05" w:rsidRPr="009D0F05" w:rsidTr="009D0F05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ч.4 ст. 7.29.3.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>
            <w:pPr>
              <w:pStyle w:val="a3"/>
            </w:pPr>
            <w:r w:rsidRPr="009D0F05">
              <w:t>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15</w:t>
            </w:r>
          </w:p>
        </w:tc>
      </w:tr>
      <w:tr w:rsidR="009D0F05" w:rsidRPr="009D0F05" w:rsidTr="009D0F05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ч. 4 ст. 7.32.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>
            <w:pPr>
              <w:pStyle w:val="a3"/>
            </w:pPr>
            <w:r w:rsidRPr="009D0F05">
              <w:t>Изменение условий контракта, в том числе увеличение цен товаров, работ, услуг, если возможность изменения условий контракта не предусмотрена законодательством Российской Федерации о контрактной системе в сфере закупок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5</w:t>
            </w:r>
          </w:p>
        </w:tc>
      </w:tr>
      <w:tr w:rsidR="009D0F05" w:rsidRPr="009D0F05" w:rsidTr="009D0F05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ч. 5 ст. 7.32.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>
            <w:pPr>
              <w:pStyle w:val="a3"/>
            </w:pPr>
            <w:proofErr w:type="gramStart"/>
            <w:r w:rsidRPr="009D0F05">
              <w:t>Изменение условий контракта, в том числе увеличение цен товаров, работ, услуг,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товаров, объема выполняемых работ, оказываемых услуг для обеспечения государственных и муниципальных нужд</w:t>
            </w:r>
            <w:proofErr w:type="gram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5</w:t>
            </w:r>
          </w:p>
        </w:tc>
      </w:tr>
      <w:tr w:rsidR="009D0F05" w:rsidRPr="009D0F05" w:rsidTr="009D0F05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ч. 10 ст. 7.32.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>
            <w:pPr>
              <w:pStyle w:val="a3"/>
            </w:pPr>
            <w:proofErr w:type="gramStart"/>
            <w:r w:rsidRPr="009D0F05">
              <w:t>Приемка поставленного товара, выполненной работы (ее результатов), оказанной услуги или отдельного этапа исполнения контракта в случае несоответствия этих товара, работы, услуги либо результатов выполненных работ условиям контракта, если выявленное несоответствие не устранено поставщиком (подрядчиком, исполнителем)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товаров, объема выполняемых работ, оказываемых услуг для обеспечения государственных</w:t>
            </w:r>
            <w:proofErr w:type="gramEnd"/>
            <w:r w:rsidRPr="009D0F05">
              <w:t xml:space="preserve"> и муниципальных нужд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5</w:t>
            </w:r>
          </w:p>
        </w:tc>
      </w:tr>
      <w:tr w:rsidR="009D0F05" w:rsidRPr="009D0F05" w:rsidTr="009D0F05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ст. 15.14.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>
            <w:pPr>
              <w:pStyle w:val="a3"/>
            </w:pPr>
            <w:r w:rsidRPr="009D0F05">
              <w:t>Нецелевое использование бюджетных средств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10</w:t>
            </w:r>
          </w:p>
        </w:tc>
      </w:tr>
      <w:tr w:rsidR="009D0F05" w:rsidRPr="009D0F05" w:rsidTr="009D0F05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ст. 15.15.5.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>
            <w:pPr>
              <w:pStyle w:val="a3"/>
            </w:pPr>
            <w:r w:rsidRPr="009D0F05">
              <w:t>Нарушение условий предоставления субсидий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15</w:t>
            </w:r>
          </w:p>
        </w:tc>
      </w:tr>
      <w:tr w:rsidR="009D0F05" w:rsidRPr="009D0F05" w:rsidTr="009D0F05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lastRenderedPageBreak/>
              <w:t>ст. 15.15.6.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>
            <w:pPr>
              <w:pStyle w:val="a3"/>
            </w:pPr>
            <w:r w:rsidRPr="009D0F05">
              <w:t>Нарушение порядка представления бюджетной отчетности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5</w:t>
            </w:r>
          </w:p>
        </w:tc>
      </w:tr>
      <w:tr w:rsidR="009D0F05" w:rsidRPr="009D0F05" w:rsidTr="009D0F05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ст.15.15.7.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>
            <w:pPr>
              <w:pStyle w:val="a3"/>
            </w:pPr>
            <w:r w:rsidRPr="009D0F05">
              <w:t>Нарушение порядка учета бюджетных обязательств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15</w:t>
            </w:r>
          </w:p>
        </w:tc>
      </w:tr>
      <w:tr w:rsidR="009D0F05" w:rsidRPr="009D0F05" w:rsidTr="009D0F05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ст. 15.15.10.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>
            <w:pPr>
              <w:pStyle w:val="a3"/>
            </w:pPr>
            <w:r w:rsidRPr="009D0F05">
              <w:t>Нарушение порядка принятия бюджетных обязательств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20</w:t>
            </w:r>
          </w:p>
        </w:tc>
      </w:tr>
      <w:tr w:rsidR="009D0F05" w:rsidRPr="009D0F05" w:rsidTr="009D0F05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ч. 20 ст. 19.5.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>
            <w:pPr>
              <w:pStyle w:val="a3"/>
            </w:pPr>
            <w:r w:rsidRPr="009D0F05">
              <w:t>Невыполнение в установленный срок законного предписания (представления) органа государственного (муниципального) финансового контроля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5</w:t>
            </w:r>
          </w:p>
        </w:tc>
      </w:tr>
      <w:tr w:rsidR="009D0F05" w:rsidRPr="009D0F05" w:rsidTr="009D0F05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/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>
            <w:pPr>
              <w:pStyle w:val="a3"/>
            </w:pPr>
            <w:r w:rsidRPr="009D0F05">
              <w:t>ИТОГО: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F05" w:rsidRPr="009D0F05" w:rsidRDefault="009D0F05">
            <w:pPr>
              <w:pStyle w:val="a3"/>
              <w:jc w:val="center"/>
            </w:pPr>
            <w:r w:rsidRPr="009D0F05">
              <w:t>100</w:t>
            </w:r>
          </w:p>
        </w:tc>
      </w:tr>
    </w:tbl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rPr>
          <w:rStyle w:val="a4"/>
        </w:rPr>
        <w:t>3.2. Государственный контроль в сфере закупок товаров, работ и услуг для обеспечения нужд Республики Карелия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 xml:space="preserve">В 2017 году уполномоченными органами на осуществление </w:t>
      </w:r>
      <w:proofErr w:type="gramStart"/>
      <w:r w:rsidRPr="009D0F05">
        <w:t>контроля за</w:t>
      </w:r>
      <w:proofErr w:type="gramEnd"/>
      <w:r w:rsidRPr="009D0F05">
        <w:t xml:space="preserve"> соблюдением законодательства Российской Федерации и иных нормативных правовых актов о контрактной системе в сфере закупок, товаров, работ, услуг для обеспечения государственных нужд (далее - контроль в сфере закупок) являлись Государственный контрольный комитет Республики Карелия и Министерство финансов Республики Карелия (далее - контрольный орган).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Контроль в сфере закупок осуществляется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и направлен на достижение следующих целей: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 xml:space="preserve">обеспечение </w:t>
      </w:r>
      <w:proofErr w:type="gramStart"/>
      <w:r w:rsidRPr="009D0F05">
        <w:t>контроля за</w:t>
      </w:r>
      <w:proofErr w:type="gramEnd"/>
      <w:r w:rsidRPr="009D0F05"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нужд Республики Карелия в целях эффективного использования бюджетных средств, а также эффективного и качественного осуществления закупок;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профилактика административных правонарушений в сфере закупок;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защита прав и законных интересов участников закупок.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В 2017 году контрольным органом осуществлено 190 контрольных мероприятий в сфере закупок, проверено 1551 закупок на сумму 1 446,9 млн. руб., в том числе в ходе: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 xml:space="preserve">проверок –1 383 закупки на сумму 1 266,7 </w:t>
      </w:r>
      <w:proofErr w:type="spellStart"/>
      <w:r w:rsidRPr="009D0F05">
        <w:t>млн</w:t>
      </w:r>
      <w:proofErr w:type="gramStart"/>
      <w:r w:rsidRPr="009D0F05">
        <w:t>.р</w:t>
      </w:r>
      <w:proofErr w:type="gramEnd"/>
      <w:r w:rsidRPr="009D0F05">
        <w:t>уб</w:t>
      </w:r>
      <w:proofErr w:type="spellEnd"/>
      <w:r w:rsidRPr="009D0F05">
        <w:t>.;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 xml:space="preserve">рассмотрения обращений о согласовании закупки у единственного поставщика – 20 закупок на сумму 128,9 </w:t>
      </w:r>
      <w:proofErr w:type="spellStart"/>
      <w:r w:rsidRPr="009D0F05">
        <w:t>млн</w:t>
      </w:r>
      <w:proofErr w:type="gramStart"/>
      <w:r w:rsidRPr="009D0F05">
        <w:t>.р</w:t>
      </w:r>
      <w:proofErr w:type="gramEnd"/>
      <w:r w:rsidRPr="009D0F05">
        <w:t>уб</w:t>
      </w:r>
      <w:proofErr w:type="spellEnd"/>
      <w:r w:rsidRPr="009D0F05">
        <w:t>.;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анализа уведомлений об осуществлении закупки у единственного поставщика – 148 закупок на сумму 51,3 млн. рублей.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 xml:space="preserve">Выявлено 289 закупок с нарушениями законодательства на сумму 1 153,2 </w:t>
      </w:r>
      <w:proofErr w:type="spellStart"/>
      <w:r w:rsidRPr="009D0F05">
        <w:t>млн</w:t>
      </w:r>
      <w:proofErr w:type="gramStart"/>
      <w:r w:rsidRPr="009D0F05">
        <w:t>.р</w:t>
      </w:r>
      <w:proofErr w:type="gramEnd"/>
      <w:r w:rsidRPr="009D0F05">
        <w:t>ублей</w:t>
      </w:r>
      <w:proofErr w:type="spellEnd"/>
      <w:r w:rsidRPr="009D0F05">
        <w:t>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Таким образом, 19% закупок от общего проверенного количества осуществлены с нарушением законодательства о контрактной системе.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Так, в 2017 году проведено 22 проверки, из них 12 – внеплановых (54%).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В отношении государственных заказчиков (органов исполнительной власти Республики Карелия с учетом подведомственных учреждений) проведена 21 проверка (95).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lastRenderedPageBreak/>
        <w:t xml:space="preserve">Проверено 1 383 закупки на сумму 1 266,7 </w:t>
      </w:r>
      <w:proofErr w:type="spellStart"/>
      <w:r w:rsidRPr="009D0F05">
        <w:t>млн</w:t>
      </w:r>
      <w:proofErr w:type="gramStart"/>
      <w:r w:rsidRPr="009D0F05">
        <w:t>.р</w:t>
      </w:r>
      <w:proofErr w:type="gramEnd"/>
      <w:r w:rsidRPr="009D0F05">
        <w:t>уб</w:t>
      </w:r>
      <w:proofErr w:type="spellEnd"/>
      <w:r w:rsidRPr="009D0F05">
        <w:t xml:space="preserve">., в ходе которых выявлено с нарушениями 289 закупок на сумму 1 153,2 </w:t>
      </w:r>
      <w:proofErr w:type="spellStart"/>
      <w:r w:rsidRPr="009D0F05">
        <w:t>млн.руб</w:t>
      </w:r>
      <w:proofErr w:type="spellEnd"/>
      <w:r w:rsidRPr="009D0F05">
        <w:t>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Субъектами контроля являлись: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9 заказчиков, подведомственных Министерству здравоохранения Республики Карелия;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 xml:space="preserve">2 заказчика, </w:t>
      </w:r>
      <w:proofErr w:type="gramStart"/>
      <w:r w:rsidRPr="009D0F05">
        <w:t>подведомственных</w:t>
      </w:r>
      <w:proofErr w:type="gramEnd"/>
      <w:r w:rsidRPr="009D0F05">
        <w:t xml:space="preserve"> Министерству образования Республики Карелия;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 xml:space="preserve">2 заказчика, </w:t>
      </w:r>
      <w:proofErr w:type="gramStart"/>
      <w:r w:rsidRPr="009D0F05">
        <w:t>подведомственных</w:t>
      </w:r>
      <w:proofErr w:type="gramEnd"/>
      <w:r w:rsidRPr="009D0F05">
        <w:t xml:space="preserve"> Министерству социальной защиты Республики Карелия;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3 заказчика - органы исполнительной власти Республики Карелия;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1 заказчик, подведомственный Министерству строительства, жилищно-коммунального хозяйства и энергетики Республики Карелия;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1 заказчик, подведомственный Министерству по дорожному хозяйству, транспорту и связи;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1 заказчик, подведомственный Министерству природных ресурсов и экологии Республики Карелия;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1 заказчик, подведомственный Государственному комитету Республики Карелия по обеспечению жизнедеятельности и безопасности населения;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1 заказчик, подведомственный Министерству экономического развития и промышленности Республики Карелия.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 xml:space="preserve">В 2017 году контрольным органом в сфере закупок рассмотрено 20 обращений заказчиков о согласовании заключения контракта с единственным поставщиком (подрядчиком, исполнителем) на сумму 128,9 </w:t>
      </w:r>
      <w:proofErr w:type="spellStart"/>
      <w:r w:rsidRPr="009D0F05">
        <w:t>млн</w:t>
      </w:r>
      <w:proofErr w:type="gramStart"/>
      <w:r w:rsidRPr="009D0F05">
        <w:t>.р</w:t>
      </w:r>
      <w:proofErr w:type="gramEnd"/>
      <w:r w:rsidRPr="009D0F05">
        <w:t>уб</w:t>
      </w:r>
      <w:proofErr w:type="spellEnd"/>
      <w:r w:rsidRPr="009D0F05">
        <w:t>., в связи с признанием открытого конкурса и запроса предложений несостоявшимися.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 xml:space="preserve">По итогам рассмотрения согласовано заключение контракта с единственным поставщиком по 17 обращениям на сумму 128,3 </w:t>
      </w:r>
      <w:proofErr w:type="spellStart"/>
      <w:r w:rsidRPr="009D0F05">
        <w:t>млн</w:t>
      </w:r>
      <w:proofErr w:type="gramStart"/>
      <w:r w:rsidRPr="009D0F05">
        <w:t>.р</w:t>
      </w:r>
      <w:proofErr w:type="gramEnd"/>
      <w:r w:rsidRPr="009D0F05">
        <w:t>уб</w:t>
      </w:r>
      <w:proofErr w:type="spellEnd"/>
      <w:r w:rsidRPr="009D0F05">
        <w:t>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 xml:space="preserve">Также, контрольным органом в сфере закупок рассмотрено 148 уведомлений заказчиков об осуществлении закупки у единственного поставщика (подрядчика, исполнителя) на сумму 51,3 </w:t>
      </w:r>
      <w:proofErr w:type="spellStart"/>
      <w:r w:rsidRPr="009D0F05">
        <w:t>млн</w:t>
      </w:r>
      <w:proofErr w:type="gramStart"/>
      <w:r w:rsidRPr="009D0F05">
        <w:t>.р</w:t>
      </w:r>
      <w:proofErr w:type="gramEnd"/>
      <w:r w:rsidRPr="009D0F05">
        <w:t>уб</w:t>
      </w:r>
      <w:proofErr w:type="spellEnd"/>
      <w:r w:rsidRPr="009D0F05">
        <w:t>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При выявлении в ходе контроля признаков административных правонарушений, в ходе проведения контроля, в отношении виновных лиц возбуждены и рассмотрены административные дела.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 xml:space="preserve">В 2017 году возбуждено 43 дела об административных правонарушениях, рассмотрено 42 дела об административных правонарушениях, на виновных должностных лиц наложены штрафы на сумму 753,7 </w:t>
      </w:r>
      <w:proofErr w:type="spellStart"/>
      <w:r w:rsidRPr="009D0F05">
        <w:t>тыс</w:t>
      </w:r>
      <w:proofErr w:type="gramStart"/>
      <w:r w:rsidRPr="009D0F05">
        <w:t>.р</w:t>
      </w:r>
      <w:proofErr w:type="gramEnd"/>
      <w:r w:rsidRPr="009D0F05">
        <w:t>уб</w:t>
      </w:r>
      <w:proofErr w:type="spellEnd"/>
      <w:r w:rsidRPr="009D0F05">
        <w:t>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 xml:space="preserve">Взыскано в 2017 году административных штрафов на сумму 563,8 </w:t>
      </w:r>
      <w:proofErr w:type="spellStart"/>
      <w:r w:rsidRPr="009D0F05">
        <w:t>тыс</w:t>
      </w:r>
      <w:proofErr w:type="gramStart"/>
      <w:r w:rsidRPr="009D0F05">
        <w:t>.р</w:t>
      </w:r>
      <w:proofErr w:type="gramEnd"/>
      <w:r w:rsidRPr="009D0F05">
        <w:t>уб</w:t>
      </w:r>
      <w:proofErr w:type="spellEnd"/>
      <w:r w:rsidRPr="009D0F05">
        <w:t xml:space="preserve">. (в </w:t>
      </w:r>
      <w:proofErr w:type="spellStart"/>
      <w:r w:rsidRPr="009D0F05">
        <w:t>т.ч</w:t>
      </w:r>
      <w:proofErr w:type="spellEnd"/>
      <w:r w:rsidRPr="009D0F05">
        <w:t>. штрафы 2016 года).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Наиболее часто встречающиеся составы административных правонарушений по рассмотренным контрольным органом делам об административных правонарушениях в сфере закупок (от общего количества административных дел):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 xml:space="preserve">- 26 % </w:t>
      </w:r>
      <w:proofErr w:type="gramStart"/>
      <w:r w:rsidRPr="009D0F05">
        <w:t>не размещение</w:t>
      </w:r>
      <w:proofErr w:type="gramEnd"/>
      <w:r w:rsidRPr="009D0F05">
        <w:t xml:space="preserve"> либо несвоевременное размещение сведений в реестре контрактов;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lastRenderedPageBreak/>
        <w:t>- 21 % признание заявок на участие в процедуре закупки надлежащими, в случае, если участнику, подавшему такую заявку, должно быть отказано в допуске к участию в закупке;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- 17 % изменение условий контрактов, если возможность изменения условий контракта не предусмотрена положениями действующего законодательства;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- 14 % размещение информации и документов с нарушением требований законодательства.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rPr>
          <w:rStyle w:val="a4"/>
        </w:rPr>
        <w:t>IV</w:t>
      </w:r>
      <w:r w:rsidRPr="009D0F05">
        <w:t> </w:t>
      </w:r>
      <w:r w:rsidRPr="009D0F05">
        <w:rPr>
          <w:rStyle w:val="a4"/>
        </w:rPr>
        <w:t>. Информация прокуратуры Республики Карелия по ситуации в сфере противодействия коррупции, в том числе о коррупционных правонарушениях, совершенных в Республике Карелия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 xml:space="preserve">В прошедшем году органами прокуратуры республики выявлено 1111 нарушений закона. В целях их устранения принесено 29 протестов, направлено в суды 26 заявлений на общую сумму 4483 </w:t>
      </w:r>
      <w:proofErr w:type="spellStart"/>
      <w:r w:rsidRPr="009D0F05">
        <w:t>тыс</w:t>
      </w:r>
      <w:proofErr w:type="gramStart"/>
      <w:r w:rsidRPr="009D0F05">
        <w:t>.р</w:t>
      </w:r>
      <w:proofErr w:type="gramEnd"/>
      <w:r w:rsidRPr="009D0F05">
        <w:t>уб</w:t>
      </w:r>
      <w:proofErr w:type="spellEnd"/>
      <w:r w:rsidRPr="009D0F05">
        <w:t>., внесено 249 представлений, объявлено 5 предостережений, 214 виновных лиц привлечено к дисциплинарной ответственности, 62 подвергнуты административному наказанию.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Значительно выросло количество нарушений актов прокурорского реагирования, связанных с неисполнением должностными лицами антикоррупционных обязанностей, несоблюдением запретов и ограничений.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По итогам надзорных мероприятий выявлено 352 таких нарушений (+139%, 2016 год - 147), по которым внесено 77 представлений (+83%, 42), к дисциплинарной ответственности по инициативе прокуроров привлечено 62 должностных лица (+37,8%, 45).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Продолжена надзорная деятельность по защите прав граждан, государства и организаций посредством возмещения ущерба, причиненного актами коррупции. В 2017 году с этой целью прокурорами принято 26 мер прокурорского реагирования (предъявлено 25 исков, внесено 1 представление).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Одним из серьезных проблемных вопросов в настоящее время является обеспечение реального взыскания ущерба, причиненного в результате коррупционных правонарушений и преступлений, а также штрафов, назначенных судом за коррупционные правонарушения.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 xml:space="preserve">Как и в 2016 году продолжена работа по привлечению к ответственности юридических лиц, от имени или в интересах которых совершаются коррупционные преступления. По статье 19.28 Кодекса Российской Федерации об административных правонарушениях (далее - КоАП РФ), судами к административной ответственности привлечено 5 юридических лиц, сумма штрафов составила 13 </w:t>
      </w:r>
      <w:proofErr w:type="spellStart"/>
      <w:r w:rsidRPr="009D0F05">
        <w:t>млн</w:t>
      </w:r>
      <w:proofErr w:type="gramStart"/>
      <w:r w:rsidRPr="009D0F05">
        <w:t>.р</w:t>
      </w:r>
      <w:proofErr w:type="gramEnd"/>
      <w:r w:rsidRPr="009D0F05">
        <w:t>уб</w:t>
      </w:r>
      <w:proofErr w:type="spellEnd"/>
      <w:r w:rsidRPr="009D0F05">
        <w:t>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 xml:space="preserve">В сфере надзора за исполнением законодательства при приеме на работу бывших государственных и муниципальных служащих прокурорами выявлено значительное количество нарушений закона. К административной ответственности по ст. 19.29 КоАП РФ привлечено 47 лиц. При этом сумма назначенных и взысканных штрафов имеет тенденцию к увеличению, (наложено штрафов на сумму 2040 </w:t>
      </w:r>
      <w:proofErr w:type="spellStart"/>
      <w:r w:rsidRPr="009D0F05">
        <w:t>тыс</w:t>
      </w:r>
      <w:proofErr w:type="gramStart"/>
      <w:r w:rsidRPr="009D0F05">
        <w:t>.р</w:t>
      </w:r>
      <w:proofErr w:type="gramEnd"/>
      <w:r w:rsidRPr="009D0F05">
        <w:t>уб</w:t>
      </w:r>
      <w:proofErr w:type="spellEnd"/>
      <w:r w:rsidRPr="009D0F05">
        <w:t xml:space="preserve">., из них реально взыскано 1599 </w:t>
      </w:r>
      <w:proofErr w:type="spellStart"/>
      <w:r w:rsidRPr="009D0F05">
        <w:t>тыс.руб</w:t>
      </w:r>
      <w:proofErr w:type="spellEnd"/>
      <w:r w:rsidRPr="009D0F05">
        <w:t>.)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 xml:space="preserve">По мнению прокуратуры </w:t>
      </w:r>
      <w:proofErr w:type="gramStart"/>
      <w:r w:rsidRPr="009D0F05">
        <w:t>Республики</w:t>
      </w:r>
      <w:proofErr w:type="gramEnd"/>
      <w:r w:rsidRPr="009D0F05">
        <w:t xml:space="preserve"> Карелия одним из основных факторов, способствующим совершению вышеуказанных нарушений, является незнание субъектами предпринимательства требований антикоррупционного законодательства.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В этой связи в прошедшем году с целью повышения уровня законности и правопорядка в указанной сфере продолжена необходимая работа по правовому просвещению населения, во взаимодействии с членами Общественного Совета при прокуратуре Республики Карелия по противодействию коррупции, распространялись методические и иные материалы.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lastRenderedPageBreak/>
        <w:t>В 2017 году правоохранительными органами выявлено 151 преступление (101 лицо, совершившие преступления), что больше на 27,9% по сравнению с предыдущим годом (2016 год - 109, 65 лиц).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В 2017 году существенно увеличилось количество выявленных фактов взяточничества (с 48 до 106), что больше на 120,8%, по сравнению с предыдущим годом.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 xml:space="preserve">Данные показатели обусловлены тем, что правоохранительными органами значительные усилия, как и в прошлом году, были нацелены на повышение результативности работы по выявлению, раскрытию и пресечению преступлений коррупционной направленности, связанных </w:t>
      </w:r>
      <w:proofErr w:type="gramStart"/>
      <w:r w:rsidRPr="009D0F05">
        <w:t>со</w:t>
      </w:r>
      <w:proofErr w:type="gramEnd"/>
      <w:r w:rsidRPr="009D0F05">
        <w:t xml:space="preserve"> взяточничеством в крупном размере, злоупотребления властью и превышения должностных полномочий высокопоставленными должностными лицами.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proofErr w:type="gramStart"/>
      <w:r w:rsidRPr="009D0F05">
        <w:t>Так, по фактам взяточничества и злоупотреблением должностными полномочиями были выявлены преступления, совершённые руководством КУ РК «Управление автомобильных дорог Республики Карелия», Государственного контрольного комитета Республики Карелия, Государственного комитета Республики Карелия по управлению государственным имуществом и размещению заказов для государственных нужд, Управления государственного автодорожного надзора по Республике Карелия, ряда государственных учреждений, в том числе пенитенциарной системы.</w:t>
      </w:r>
      <w:proofErr w:type="gramEnd"/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 xml:space="preserve">Продолжаются судебные следствия, либо в 2017 году вынесены обвинительные приговоры по уголовным делам в отношении бывшего директора ФГБУК «Государственный историко-архитектурный и этнографический музей-заповедник «Кижи», депутатов Законодательного Собрания Республики Карелия и представительных органов местного самоуправления, заместителя Главного государственного санитарного врача по Республике Карелия, проректора ФГБОУ </w:t>
      </w:r>
      <w:proofErr w:type="gramStart"/>
      <w:r w:rsidRPr="009D0F05">
        <w:t>ВО</w:t>
      </w:r>
      <w:proofErr w:type="gramEnd"/>
      <w:r w:rsidRPr="009D0F05">
        <w:t xml:space="preserve"> «Петрозаводская государственная консерватория имени А.К. Глазунова», глав местных администраций, руководителей коммерческих организаций, сотрудников службы судебных приставов и органов внутренних дел.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 xml:space="preserve">Суммарный размер взяток, полученных коррупционерами, составил 15 898 </w:t>
      </w:r>
      <w:proofErr w:type="spellStart"/>
      <w:r w:rsidRPr="009D0F05">
        <w:t>тыс</w:t>
      </w:r>
      <w:proofErr w:type="gramStart"/>
      <w:r w:rsidRPr="009D0F05">
        <w:t>.р</w:t>
      </w:r>
      <w:proofErr w:type="gramEnd"/>
      <w:r w:rsidRPr="009D0F05">
        <w:t>уб</w:t>
      </w:r>
      <w:proofErr w:type="spellEnd"/>
      <w:r w:rsidRPr="009D0F05">
        <w:t xml:space="preserve">. (в 2016 году - 5 029 </w:t>
      </w:r>
      <w:proofErr w:type="spellStart"/>
      <w:r w:rsidRPr="009D0F05">
        <w:t>тыс.руб</w:t>
      </w:r>
      <w:proofErr w:type="spellEnd"/>
      <w:r w:rsidRPr="009D0F05">
        <w:t xml:space="preserve">., +216%). Средняя сумма взятки составила 529,9 </w:t>
      </w:r>
      <w:proofErr w:type="spellStart"/>
      <w:r w:rsidRPr="009D0F05">
        <w:t>тыс</w:t>
      </w:r>
      <w:proofErr w:type="gramStart"/>
      <w:r w:rsidRPr="009D0F05">
        <w:t>.р</w:t>
      </w:r>
      <w:proofErr w:type="gramEnd"/>
      <w:r w:rsidRPr="009D0F05">
        <w:t>уб</w:t>
      </w:r>
      <w:proofErr w:type="spellEnd"/>
      <w:r w:rsidRPr="009D0F05">
        <w:t xml:space="preserve">. (в 2016 год - 457,2 </w:t>
      </w:r>
      <w:proofErr w:type="spellStart"/>
      <w:r w:rsidRPr="009D0F05">
        <w:t>тыс.руб</w:t>
      </w:r>
      <w:proofErr w:type="spellEnd"/>
      <w:r w:rsidRPr="009D0F05">
        <w:t>., +15,7%).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В 2017 году судами республики всего рассмотрено 62 уголовных дела в отношении 73 лиц (2016 год - 55 дел в отношении 68 лиц).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По результатам рассмотрения дел коррупционной направленности осуждено 49 лиц (2016 год - 52 лица), в том числе в виде реального лишения свободы наказание назначено в отношении 10 лиц (2016 год - 10).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rPr>
          <w:rStyle w:val="a4"/>
        </w:rPr>
        <w:t>V</w:t>
      </w:r>
      <w:r w:rsidRPr="009D0F05">
        <w:t> </w:t>
      </w:r>
      <w:r w:rsidRPr="009D0F05">
        <w:rPr>
          <w:rStyle w:val="a4"/>
        </w:rPr>
        <w:t>. Предложения по повышению эффективности реализации мер антикоррупционной политики в Республике Карелия на 2018 год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1. Руководителям органов исполнительной власти обеспечить: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 xml:space="preserve">1) личный </w:t>
      </w:r>
      <w:proofErr w:type="gramStart"/>
      <w:r w:rsidRPr="009D0F05">
        <w:t>контроль за</w:t>
      </w:r>
      <w:proofErr w:type="gramEnd"/>
      <w:r w:rsidRPr="009D0F05">
        <w:t xml:space="preserve"> направлением в правоохранительные органы материалов проверок или иной информации, свидетельствующей о наличии в действиях (бездействиях) государственных гражданских служащих, а также сотрудников организаций, подведомственных органам исполнительной власти, признаков составов преступлений;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2) применение предусмотренных законодательством Российской Федерации мер юридической ответственности в каждом случае несоблюдения государственными гражданскими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t>2. Администрации Главы Республики Карелия: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r w:rsidRPr="009D0F05">
        <w:lastRenderedPageBreak/>
        <w:t>1) выработать комплекс мероприятий, направленных на более активное участие институтов гражданского общества и граждан в проведении независимой антикоррупционной экспертизы нормативных правовых актов (проектов нормативных правовых актов) органов государственной власти Республики Карелия;</w:t>
      </w:r>
    </w:p>
    <w:p w:rsidR="009D0F05" w:rsidRPr="009D0F05" w:rsidRDefault="009D0F05" w:rsidP="009D0F05">
      <w:pPr>
        <w:pStyle w:val="a3"/>
        <w:shd w:val="clear" w:color="auto" w:fill="FFFFFF"/>
        <w:jc w:val="both"/>
      </w:pPr>
      <w:proofErr w:type="gramStart"/>
      <w:r w:rsidRPr="009D0F05">
        <w:t>2) с учетом произошедших изменений законодательства о противодействии коррупции, провести мониторинг реализации органами исполнительной власти Республики Карелия требований в данной области, в том числе и в подведомственных органам исполнительной власти учреждениях, по результатам которого выработать единые подходы по организации антикоррупционной деятельности, в частности, рассмотреть возможность разработки модельных правовых актов;</w:t>
      </w:r>
      <w:proofErr w:type="gramEnd"/>
    </w:p>
    <w:p w:rsidR="009D0F05" w:rsidRPr="009D0F05" w:rsidRDefault="009D0F05" w:rsidP="009D0F05">
      <w:pPr>
        <w:pStyle w:val="a3"/>
        <w:shd w:val="clear" w:color="auto" w:fill="FFFFFF"/>
        <w:jc w:val="both"/>
      </w:pPr>
      <w:proofErr w:type="gramStart"/>
      <w:r w:rsidRPr="009D0F05">
        <w:t>3) провести анализ исполнения требований Закона Республики Карелия от 20 декабря 2017 года № 2199-ЗРК «О внесении изменений в отдельные законодательные акты Республики Карелия», по итогам которого выработать предложения, направленные на совершенствование работы по представлению лицами, замещающими муниципальные должности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Pr="009D0F05">
        <w:t xml:space="preserve"> характера своих супруг (супругов) и несовершеннолетних детей.</w:t>
      </w:r>
    </w:p>
    <w:p w:rsidR="008C56CC" w:rsidRPr="009D0F05" w:rsidRDefault="008C56CC" w:rsidP="009D0F05">
      <w:pPr>
        <w:jc w:val="both"/>
      </w:pPr>
      <w:bookmarkStart w:id="2" w:name="_GoBack"/>
      <w:bookmarkEnd w:id="2"/>
    </w:p>
    <w:sectPr w:rsidR="008C56CC" w:rsidRPr="009D0F05" w:rsidSect="009D0F05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05"/>
    <w:rsid w:val="008C56CC"/>
    <w:rsid w:val="009D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9D0F05"/>
  </w:style>
  <w:style w:type="paragraph" w:styleId="a3">
    <w:name w:val="Normal (Web)"/>
    <w:basedOn w:val="a"/>
    <w:uiPriority w:val="99"/>
    <w:unhideWhenUsed/>
    <w:rsid w:val="009D0F0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D0F05"/>
    <w:rPr>
      <w:b/>
      <w:bCs/>
    </w:rPr>
  </w:style>
  <w:style w:type="character" w:styleId="a5">
    <w:name w:val="Emphasis"/>
    <w:basedOn w:val="a0"/>
    <w:uiPriority w:val="20"/>
    <w:qFormat/>
    <w:rsid w:val="009D0F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9D0F05"/>
  </w:style>
  <w:style w:type="paragraph" w:styleId="a3">
    <w:name w:val="Normal (Web)"/>
    <w:basedOn w:val="a"/>
    <w:uiPriority w:val="99"/>
    <w:unhideWhenUsed/>
    <w:rsid w:val="009D0F0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D0F05"/>
    <w:rPr>
      <w:b/>
      <w:bCs/>
    </w:rPr>
  </w:style>
  <w:style w:type="character" w:styleId="a5">
    <w:name w:val="Emphasis"/>
    <w:basedOn w:val="a0"/>
    <w:uiPriority w:val="20"/>
    <w:qFormat/>
    <w:rsid w:val="009D0F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6038</Words>
  <Characters>34422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2020-01-22T08:11:00Z</dcterms:created>
  <dcterms:modified xsi:type="dcterms:W3CDTF">2020-01-22T08:20:00Z</dcterms:modified>
</cp:coreProperties>
</file>